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C72" w:rsidRPr="00B04C72" w:rsidRDefault="00B04C72" w:rsidP="00B04C72">
      <w:pPr>
        <w:jc w:val="center"/>
        <w:rPr>
          <w:rFonts w:ascii="Arial" w:hAnsi="Arial" w:cs="Arial"/>
        </w:rPr>
      </w:pPr>
      <w:r w:rsidRPr="00B04C72">
        <w:rPr>
          <w:rFonts w:ascii="Arial" w:hAnsi="Arial" w:cs="Arial"/>
          <w:b/>
        </w:rPr>
        <w:t xml:space="preserve">The role of the Indonesian government in enhancing Cinnamomum </w:t>
      </w:r>
      <w:r w:rsidRPr="00C23001">
        <w:rPr>
          <w:rFonts w:ascii="Arial" w:hAnsi="Arial" w:cs="Arial"/>
          <w:b/>
          <w:noProof/>
        </w:rPr>
        <w:t>burmannii</w:t>
      </w:r>
      <w:r w:rsidRPr="00B04C72">
        <w:rPr>
          <w:rFonts w:ascii="Arial" w:hAnsi="Arial" w:cs="Arial"/>
          <w:b/>
        </w:rPr>
        <w:t xml:space="preserve"> Blume value chain and </w:t>
      </w:r>
      <w:r w:rsidRPr="00B04C72">
        <w:rPr>
          <w:rFonts w:ascii="Arial" w:hAnsi="Arial" w:cs="Arial"/>
          <w:b/>
          <w:noProof/>
        </w:rPr>
        <w:t>commerciali</w:t>
      </w:r>
      <w:bookmarkStart w:id="0" w:name="_GoBack"/>
      <w:bookmarkEnd w:id="0"/>
      <w:r>
        <w:rPr>
          <w:rFonts w:ascii="Arial" w:hAnsi="Arial" w:cs="Arial"/>
          <w:b/>
          <w:noProof/>
        </w:rPr>
        <w:t>s</w:t>
      </w:r>
      <w:r w:rsidRPr="00B04C72">
        <w:rPr>
          <w:rFonts w:ascii="Arial" w:hAnsi="Arial" w:cs="Arial"/>
          <w:b/>
          <w:noProof/>
        </w:rPr>
        <w:t>ation</w:t>
      </w:r>
      <w:r w:rsidRPr="00B04C72">
        <w:rPr>
          <w:rFonts w:ascii="Arial" w:hAnsi="Arial" w:cs="Arial"/>
          <w:b/>
        </w:rPr>
        <w:t xml:space="preserve"> to improve farmers' livelihood</w:t>
      </w:r>
    </w:p>
    <w:p w:rsidR="00B04C72" w:rsidRPr="00B04C72" w:rsidRDefault="00B04C72" w:rsidP="00B04C72">
      <w:pPr>
        <w:spacing w:after="120" w:line="240" w:lineRule="auto"/>
        <w:jc w:val="right"/>
        <w:rPr>
          <w:rFonts w:ascii="Arial" w:hAnsi="Arial" w:cs="Arial"/>
          <w:sz w:val="18"/>
          <w:szCs w:val="18"/>
          <w:vertAlign w:val="superscript"/>
        </w:rPr>
      </w:pPr>
      <w:bookmarkStart w:id="1" w:name="_Toc506830819"/>
      <w:r w:rsidRPr="00B04C72">
        <w:rPr>
          <w:rFonts w:ascii="Arial" w:hAnsi="Arial" w:cs="Arial"/>
          <w:b/>
          <w:sz w:val="20"/>
          <w:szCs w:val="18"/>
        </w:rPr>
        <w:t xml:space="preserve">Patrick Van </w:t>
      </w:r>
      <w:r w:rsidRPr="00C23001">
        <w:rPr>
          <w:rFonts w:ascii="Arial" w:hAnsi="Arial" w:cs="Arial"/>
          <w:b/>
          <w:noProof/>
          <w:sz w:val="20"/>
          <w:szCs w:val="18"/>
        </w:rPr>
        <w:t>Damme</w:t>
      </w:r>
      <w:r w:rsidRPr="00C23001">
        <w:rPr>
          <w:rFonts w:ascii="Arial" w:hAnsi="Arial" w:cs="Arial"/>
          <w:noProof/>
          <w:sz w:val="18"/>
          <w:szCs w:val="18"/>
          <w:vertAlign w:val="superscript"/>
        </w:rPr>
        <w:t>a</w:t>
      </w:r>
      <w:r w:rsidRPr="00B04C72">
        <w:rPr>
          <w:rFonts w:ascii="Arial" w:hAnsi="Arial" w:cs="Arial"/>
          <w:sz w:val="18"/>
          <w:szCs w:val="18"/>
          <w:vertAlign w:val="superscript"/>
        </w:rPr>
        <w:t>,b</w:t>
      </w:r>
    </w:p>
    <w:p w:rsidR="00B04C72" w:rsidRPr="00B04C72" w:rsidRDefault="00B04C72" w:rsidP="00B04C72">
      <w:pPr>
        <w:pStyle w:val="BAuthor"/>
        <w:rPr>
          <w:rFonts w:ascii="Arial" w:hAnsi="Arial" w:cs="Arial"/>
        </w:rPr>
      </w:pPr>
      <w:r w:rsidRPr="00B04C72">
        <w:rPr>
          <w:rFonts w:ascii="Arial" w:hAnsi="Arial" w:cs="Arial"/>
        </w:rPr>
        <w:t>Sidi Rana Menggala</w:t>
      </w:r>
      <w:bookmarkEnd w:id="1"/>
      <w:r w:rsidRPr="00B04C72">
        <w:rPr>
          <w:rFonts w:ascii="Arial" w:hAnsi="Arial" w:cs="Arial"/>
          <w:b w:val="0"/>
          <w:vertAlign w:val="superscript"/>
        </w:rPr>
        <w:t>a</w:t>
      </w:r>
    </w:p>
    <w:p w:rsidR="00B04C72" w:rsidRPr="00B04C72" w:rsidRDefault="00B04C72" w:rsidP="00B04C72">
      <w:pPr>
        <w:spacing w:after="120" w:line="240" w:lineRule="auto"/>
        <w:jc w:val="right"/>
        <w:rPr>
          <w:rFonts w:ascii="Arial" w:hAnsi="Arial" w:cs="Arial"/>
          <w:sz w:val="18"/>
          <w:szCs w:val="18"/>
        </w:rPr>
      </w:pPr>
      <w:r w:rsidRPr="00B04C72">
        <w:rPr>
          <w:rFonts w:ascii="Arial" w:hAnsi="Arial" w:cs="Arial"/>
          <w:sz w:val="18"/>
          <w:szCs w:val="18"/>
          <w:vertAlign w:val="superscript"/>
        </w:rPr>
        <w:t>a</w:t>
      </w:r>
      <w:r w:rsidRPr="00B04C72">
        <w:rPr>
          <w:rFonts w:ascii="Arial" w:hAnsi="Arial" w:cs="Arial"/>
          <w:sz w:val="18"/>
          <w:szCs w:val="18"/>
        </w:rPr>
        <w:t xml:space="preserve">Department of Plant Production, Faculty of Bioscience Engineering, Ghent University, Coupure links 653, Gent 9000, Belgium; </w:t>
      </w:r>
      <w:r w:rsidRPr="00C23001">
        <w:rPr>
          <w:rFonts w:ascii="Arial" w:hAnsi="Arial" w:cs="Arial"/>
          <w:noProof/>
          <w:sz w:val="18"/>
          <w:szCs w:val="18"/>
          <w:vertAlign w:val="superscript"/>
        </w:rPr>
        <w:t>b</w:t>
      </w:r>
      <w:r w:rsidRPr="00C23001">
        <w:rPr>
          <w:rFonts w:ascii="Arial" w:hAnsi="Arial" w:cs="Arial"/>
          <w:noProof/>
          <w:sz w:val="18"/>
          <w:szCs w:val="18"/>
        </w:rPr>
        <w:t>Czech</w:t>
      </w:r>
      <w:r w:rsidRPr="00B04C72">
        <w:rPr>
          <w:rFonts w:ascii="Arial" w:hAnsi="Arial" w:cs="Arial"/>
          <w:sz w:val="18"/>
          <w:szCs w:val="18"/>
        </w:rPr>
        <w:t xml:space="preserve"> University of Life Sciences, Prague, Czech Republic</w:t>
      </w:r>
    </w:p>
    <w:p w:rsidR="00B04C72" w:rsidRPr="00B04C72" w:rsidRDefault="00B04C72" w:rsidP="00B04C72">
      <w:pPr>
        <w:rPr>
          <w:rFonts w:ascii="Arial" w:hAnsi="Arial" w:cs="Arial"/>
        </w:rPr>
      </w:pPr>
    </w:p>
    <w:p w:rsidR="00B04C72" w:rsidRPr="00B04C72" w:rsidRDefault="00B04C72" w:rsidP="00B04C72">
      <w:pPr>
        <w:rPr>
          <w:rFonts w:ascii="Arial" w:hAnsi="Arial" w:cs="Arial"/>
          <w:b/>
        </w:rPr>
      </w:pPr>
      <w:r w:rsidRPr="00B04C72">
        <w:rPr>
          <w:rFonts w:ascii="Arial" w:hAnsi="Arial" w:cs="Arial"/>
          <w:b/>
        </w:rPr>
        <w:t>Abstract</w:t>
      </w:r>
    </w:p>
    <w:p w:rsidR="00B04C72" w:rsidRPr="00B04C72" w:rsidRDefault="00B04C72" w:rsidP="00B04C72">
      <w:pPr>
        <w:jc w:val="both"/>
        <w:rPr>
          <w:rFonts w:ascii="Arial" w:hAnsi="Arial" w:cs="Arial"/>
        </w:rPr>
      </w:pPr>
    </w:p>
    <w:p w:rsidR="00B04C72" w:rsidRPr="00B04C72" w:rsidRDefault="00B04C72" w:rsidP="00B04C72">
      <w:pPr>
        <w:jc w:val="both"/>
        <w:rPr>
          <w:rFonts w:ascii="Arial" w:hAnsi="Arial" w:cs="Arial"/>
        </w:rPr>
      </w:pPr>
      <w:r w:rsidRPr="00B04C72">
        <w:rPr>
          <w:rFonts w:ascii="Arial" w:hAnsi="Arial" w:cs="Arial"/>
          <w:noProof/>
          <w:szCs w:val="18"/>
        </w:rPr>
        <w:t>Cinnamon is the most common baking spice</w:t>
      </w:r>
      <w:r w:rsidRPr="00B04C72">
        <w:rPr>
          <w:rFonts w:ascii="Arial" w:hAnsi="Arial" w:cs="Arial"/>
          <w:szCs w:val="18"/>
        </w:rPr>
        <w:t xml:space="preserve"> in the world. It comes from a small evergreen tree that's part of the </w:t>
      </w:r>
      <w:r w:rsidRPr="00B04C72">
        <w:rPr>
          <w:rFonts w:ascii="Arial" w:hAnsi="Arial" w:cs="Arial"/>
          <w:i/>
          <w:szCs w:val="18"/>
        </w:rPr>
        <w:t>Lauraceae</w:t>
      </w:r>
      <w:r w:rsidRPr="00B04C72">
        <w:rPr>
          <w:rFonts w:ascii="Arial" w:hAnsi="Arial" w:cs="Arial"/>
          <w:szCs w:val="18"/>
        </w:rPr>
        <w:t xml:space="preserve"> family. Genus </w:t>
      </w:r>
      <w:r w:rsidRPr="00B04C72">
        <w:rPr>
          <w:rFonts w:ascii="Arial" w:hAnsi="Arial" w:cs="Arial"/>
          <w:i/>
          <w:szCs w:val="18"/>
        </w:rPr>
        <w:t>Cinnamomum</w:t>
      </w:r>
      <w:r w:rsidRPr="00B04C72">
        <w:rPr>
          <w:rFonts w:ascii="Arial" w:hAnsi="Arial" w:cs="Arial"/>
          <w:szCs w:val="18"/>
        </w:rPr>
        <w:t xml:space="preserve"> regroups some species whose stem bark </w:t>
      </w:r>
      <w:r w:rsidRPr="00B04C72">
        <w:rPr>
          <w:rFonts w:ascii="Arial" w:hAnsi="Arial" w:cs="Arial"/>
          <w:noProof/>
          <w:szCs w:val="18"/>
        </w:rPr>
        <w:t>is harvested</w:t>
      </w:r>
      <w:r w:rsidRPr="00B04C72">
        <w:rPr>
          <w:rFonts w:ascii="Arial" w:hAnsi="Arial" w:cs="Arial"/>
          <w:szCs w:val="18"/>
        </w:rPr>
        <w:t xml:space="preserve">, conditioned and traded as cinnamon in the international market. Over the centuries, the species have been domesticated so that now at least six different ones are grown in Southeast Asia, including Indonesia. </w:t>
      </w:r>
      <w:r w:rsidRPr="00B04C72">
        <w:rPr>
          <w:rFonts w:ascii="Arial" w:hAnsi="Arial" w:cs="Arial"/>
        </w:rPr>
        <w:t>Because of its geographical location, Indonesia is very central to the equator</w:t>
      </w:r>
      <w:r w:rsidRPr="00B04C72">
        <w:rPr>
          <w:rFonts w:ascii="Arial" w:hAnsi="Arial" w:cs="Arial"/>
          <w:noProof/>
        </w:rPr>
        <w:t>; it</w:t>
      </w:r>
      <w:r w:rsidRPr="00B04C72">
        <w:rPr>
          <w:rFonts w:ascii="Arial" w:hAnsi="Arial" w:cs="Arial"/>
        </w:rPr>
        <w:t xml:space="preserve"> affects the tropical rainforest as well as the temperature that support the growth of diverse tropical plants including </w:t>
      </w:r>
      <w:r w:rsidRPr="00B04C72">
        <w:rPr>
          <w:rFonts w:ascii="Arial" w:hAnsi="Arial" w:cs="Arial"/>
          <w:i/>
        </w:rPr>
        <w:t xml:space="preserve">Cinnamomum </w:t>
      </w:r>
      <w:r w:rsidRPr="00C23001">
        <w:rPr>
          <w:rFonts w:ascii="Arial" w:hAnsi="Arial" w:cs="Arial"/>
          <w:i/>
          <w:noProof/>
        </w:rPr>
        <w:t>burmannii</w:t>
      </w:r>
      <w:r w:rsidRPr="00B04C72">
        <w:rPr>
          <w:rFonts w:ascii="Arial" w:hAnsi="Arial" w:cs="Arial"/>
        </w:rPr>
        <w:t xml:space="preserve"> (Nees &amp; T. Nees) Blume (cinnamon).</w:t>
      </w:r>
    </w:p>
    <w:p w:rsidR="00B04C72" w:rsidRPr="00B04C72" w:rsidRDefault="00B04C72" w:rsidP="00B04C72">
      <w:pPr>
        <w:jc w:val="both"/>
        <w:rPr>
          <w:rFonts w:ascii="Arial" w:hAnsi="Arial" w:cs="Arial"/>
        </w:rPr>
      </w:pPr>
      <w:r w:rsidRPr="00B04C72">
        <w:rPr>
          <w:rFonts w:ascii="Arial" w:hAnsi="Arial" w:cs="Arial"/>
        </w:rPr>
        <w:t xml:space="preserve">Cinnamon </w:t>
      </w:r>
      <w:r w:rsidRPr="00C23001">
        <w:rPr>
          <w:rFonts w:ascii="Arial" w:hAnsi="Arial" w:cs="Arial"/>
          <w:noProof/>
        </w:rPr>
        <w:t>is traded</w:t>
      </w:r>
      <w:r w:rsidRPr="00B04C72">
        <w:rPr>
          <w:rFonts w:ascii="Arial" w:hAnsi="Arial" w:cs="Arial"/>
        </w:rPr>
        <w:t xml:space="preserve"> in international markets which originated from various locations in Indonesia. The product that consumed is the bark of </w:t>
      </w:r>
      <w:r w:rsidRPr="00B04C72">
        <w:rPr>
          <w:rFonts w:ascii="Arial" w:hAnsi="Arial" w:cs="Arial"/>
          <w:i/>
        </w:rPr>
        <w:t xml:space="preserve">C. </w:t>
      </w:r>
      <w:r w:rsidRPr="00C23001">
        <w:rPr>
          <w:rFonts w:ascii="Arial" w:hAnsi="Arial" w:cs="Arial"/>
          <w:i/>
          <w:noProof/>
        </w:rPr>
        <w:t>burmannii</w:t>
      </w:r>
      <w:r w:rsidRPr="00B04C72">
        <w:rPr>
          <w:rFonts w:ascii="Arial" w:hAnsi="Arial" w:cs="Arial"/>
        </w:rPr>
        <w:t xml:space="preserve"> tree which is cultivated commercially throughout Indonesia. The tree grows well in Sumatra, Java, Sulawesi to Maluku, but the </w:t>
      </w:r>
      <w:r w:rsidRPr="00B04C72">
        <w:rPr>
          <w:rFonts w:ascii="Arial" w:hAnsi="Arial" w:cs="Arial"/>
          <w:noProof/>
        </w:rPr>
        <w:t>largest</w:t>
      </w:r>
      <w:r w:rsidRPr="00B04C72">
        <w:rPr>
          <w:rFonts w:ascii="Arial" w:hAnsi="Arial" w:cs="Arial"/>
        </w:rPr>
        <w:t xml:space="preserve"> plantation </w:t>
      </w:r>
      <w:r w:rsidRPr="00B04C72">
        <w:rPr>
          <w:rFonts w:ascii="Arial" w:hAnsi="Arial" w:cs="Arial"/>
          <w:noProof/>
        </w:rPr>
        <w:t>is located</w:t>
      </w:r>
      <w:r w:rsidRPr="00B04C72">
        <w:rPr>
          <w:rFonts w:ascii="Arial" w:hAnsi="Arial" w:cs="Arial"/>
        </w:rPr>
        <w:t xml:space="preserve"> in Jambi province. </w:t>
      </w:r>
      <w:r w:rsidRPr="00B04C72">
        <w:rPr>
          <w:rFonts w:ascii="Arial" w:hAnsi="Arial" w:cs="Arial"/>
          <w:i/>
        </w:rPr>
        <w:t xml:space="preserve">C. </w:t>
      </w:r>
      <w:r w:rsidRPr="00B04C72">
        <w:rPr>
          <w:rFonts w:ascii="Arial" w:hAnsi="Arial" w:cs="Arial"/>
          <w:i/>
          <w:noProof/>
        </w:rPr>
        <w:t>burmannii</w:t>
      </w:r>
      <w:r w:rsidRPr="00B04C72">
        <w:rPr>
          <w:rFonts w:ascii="Arial" w:hAnsi="Arial" w:cs="Arial"/>
        </w:rPr>
        <w:t xml:space="preserve"> is a spice commodity that has high export value compared to others. The world's demand for this commodity increases along with the high market demand. Therefore, the role of the Indonesian government is </w:t>
      </w:r>
      <w:r w:rsidRPr="00B04C72">
        <w:rPr>
          <w:rFonts w:ascii="Arial" w:hAnsi="Arial" w:cs="Arial"/>
          <w:noProof/>
        </w:rPr>
        <w:t>significant</w:t>
      </w:r>
      <w:r w:rsidRPr="00B04C72">
        <w:rPr>
          <w:rFonts w:ascii="Arial" w:hAnsi="Arial" w:cs="Arial"/>
        </w:rPr>
        <w:t xml:space="preserve"> to be able to guarantee the </w:t>
      </w:r>
      <w:r w:rsidRPr="00B04C72">
        <w:rPr>
          <w:rFonts w:ascii="Arial" w:hAnsi="Arial" w:cs="Arial"/>
          <w:noProof/>
        </w:rPr>
        <w:t>need</w:t>
      </w:r>
      <w:r w:rsidRPr="00B04C72">
        <w:rPr>
          <w:rFonts w:ascii="Arial" w:hAnsi="Arial" w:cs="Arial"/>
        </w:rPr>
        <w:t xml:space="preserve"> for cinnamon in the international market.</w:t>
      </w:r>
    </w:p>
    <w:p w:rsidR="00B04C72" w:rsidRPr="00B04C72" w:rsidRDefault="00B04C72" w:rsidP="00B04C72">
      <w:pPr>
        <w:jc w:val="both"/>
        <w:rPr>
          <w:rFonts w:ascii="Arial" w:hAnsi="Arial" w:cs="Arial"/>
        </w:rPr>
      </w:pPr>
      <w:r w:rsidRPr="00B04C72">
        <w:rPr>
          <w:rFonts w:ascii="Arial" w:hAnsi="Arial" w:cs="Arial"/>
        </w:rPr>
        <w:t xml:space="preserve">In this paper, we will identify the potential Indonesian government resources support in </w:t>
      </w:r>
      <w:r w:rsidRPr="00B04C72">
        <w:rPr>
          <w:rFonts w:ascii="Arial" w:hAnsi="Arial" w:cs="Arial"/>
          <w:i/>
        </w:rPr>
        <w:t xml:space="preserve">C. </w:t>
      </w:r>
      <w:r w:rsidRPr="00B04C72">
        <w:rPr>
          <w:rFonts w:ascii="Arial" w:hAnsi="Arial" w:cs="Arial"/>
          <w:i/>
          <w:noProof/>
        </w:rPr>
        <w:t>burmannii</w:t>
      </w:r>
      <w:r w:rsidRPr="00B04C72">
        <w:rPr>
          <w:rFonts w:ascii="Arial" w:hAnsi="Arial" w:cs="Arial"/>
        </w:rPr>
        <w:t xml:space="preserve"> value chain improvement and </w:t>
      </w:r>
      <w:r w:rsidRPr="00B04C72">
        <w:rPr>
          <w:rFonts w:ascii="Arial" w:hAnsi="Arial" w:cs="Arial"/>
          <w:noProof/>
        </w:rPr>
        <w:t>commercialisation</w:t>
      </w:r>
      <w:r w:rsidRPr="00B04C72">
        <w:rPr>
          <w:rFonts w:ascii="Arial" w:hAnsi="Arial" w:cs="Arial"/>
        </w:rPr>
        <w:t xml:space="preserve">. A qualitative survey of smallholder farmers in Kerinci, Jambi Province, Indonesia was designed to surface insights on the relationship of smallholder farmers and government to evaluate their connection </w:t>
      </w:r>
      <w:r w:rsidRPr="00B04C72">
        <w:rPr>
          <w:rFonts w:ascii="Arial" w:hAnsi="Arial" w:cs="Arial"/>
          <w:noProof/>
        </w:rPr>
        <w:t>to</w:t>
      </w:r>
      <w:r w:rsidRPr="00B04C72">
        <w:rPr>
          <w:rFonts w:ascii="Arial" w:hAnsi="Arial" w:cs="Arial"/>
        </w:rPr>
        <w:t xml:space="preserve"> strength within the chain. The survey reveals the different actors can play in improving smallholder incomes. This paper illustrated that many levers affect </w:t>
      </w:r>
      <w:r w:rsidRPr="00B04C72">
        <w:rPr>
          <w:rFonts w:ascii="Arial" w:hAnsi="Arial" w:cs="Arial"/>
          <w:noProof/>
        </w:rPr>
        <w:t>incomes</w:t>
      </w:r>
      <w:r w:rsidRPr="00B04C72">
        <w:rPr>
          <w:rFonts w:ascii="Arial" w:hAnsi="Arial" w:cs="Arial"/>
        </w:rPr>
        <w:t xml:space="preserve">, requiring input from actors such as local and national government. Some things that can be done to improve the performance of the value chain such as increasing the role of cooperatives in coaching, mentoring to farmers and </w:t>
      </w:r>
      <w:r w:rsidRPr="00B04C72">
        <w:rPr>
          <w:rFonts w:ascii="Arial" w:hAnsi="Arial" w:cs="Arial"/>
          <w:noProof/>
        </w:rPr>
        <w:t>strengthen</w:t>
      </w:r>
      <w:r w:rsidRPr="00B04C72">
        <w:rPr>
          <w:rFonts w:ascii="Arial" w:hAnsi="Arial" w:cs="Arial"/>
        </w:rPr>
        <w:t xml:space="preserve"> the </w:t>
      </w:r>
      <w:r w:rsidRPr="00B04C72">
        <w:rPr>
          <w:rFonts w:ascii="Arial" w:hAnsi="Arial" w:cs="Arial"/>
          <w:noProof/>
        </w:rPr>
        <w:t>role</w:t>
      </w:r>
      <w:r w:rsidRPr="00B04C72">
        <w:rPr>
          <w:rFonts w:ascii="Arial" w:hAnsi="Arial" w:cs="Arial"/>
        </w:rPr>
        <w:t xml:space="preserve"> of government to protect the cinnamon industry through pro-farmer policies. Our findings show that upgrading in value chains is taking place in all its forms, i.e. through investments in </w:t>
      </w:r>
      <w:r w:rsidRPr="00B04C72">
        <w:rPr>
          <w:rFonts w:ascii="Arial" w:hAnsi="Arial" w:cs="Arial"/>
          <w:noProof/>
        </w:rPr>
        <w:t>high-value</w:t>
      </w:r>
      <w:r w:rsidRPr="00B04C72">
        <w:rPr>
          <w:rFonts w:ascii="Arial" w:hAnsi="Arial" w:cs="Arial"/>
        </w:rPr>
        <w:t xml:space="preserve"> products, improvements in operations that produce more efficiently, adopting upstream or downstream chain functions, and </w:t>
      </w:r>
      <w:r w:rsidRPr="00B04C72">
        <w:rPr>
          <w:rFonts w:ascii="Arial" w:hAnsi="Arial" w:cs="Arial"/>
          <w:noProof/>
        </w:rPr>
        <w:t>utilising</w:t>
      </w:r>
      <w:r w:rsidRPr="00B04C72">
        <w:rPr>
          <w:rFonts w:ascii="Arial" w:hAnsi="Arial" w:cs="Arial"/>
        </w:rPr>
        <w:t xml:space="preserve"> competencies from different chains into cinnamon related </w:t>
      </w:r>
      <w:r w:rsidRPr="00B04C72">
        <w:rPr>
          <w:rFonts w:ascii="Arial" w:hAnsi="Arial" w:cs="Arial"/>
          <w:noProof/>
        </w:rPr>
        <w:t>activities</w:t>
      </w:r>
      <w:r w:rsidRPr="00B04C72">
        <w:rPr>
          <w:rFonts w:ascii="Arial" w:hAnsi="Arial" w:cs="Arial"/>
        </w:rPr>
        <w:t>.</w:t>
      </w:r>
    </w:p>
    <w:p w:rsidR="00B04C72" w:rsidRPr="00B04C72" w:rsidRDefault="00B04C72" w:rsidP="00B04C72">
      <w:pPr>
        <w:rPr>
          <w:rFonts w:ascii="Arial" w:hAnsi="Arial" w:cs="Arial"/>
        </w:rPr>
      </w:pPr>
    </w:p>
    <w:p w:rsidR="00B04C72" w:rsidRPr="00B04C72" w:rsidRDefault="00B04C72" w:rsidP="00B04C72">
      <w:pPr>
        <w:rPr>
          <w:rFonts w:ascii="Arial" w:hAnsi="Arial" w:cs="Arial"/>
        </w:rPr>
      </w:pPr>
      <w:r w:rsidRPr="00B04C72">
        <w:rPr>
          <w:rFonts w:ascii="Arial" w:hAnsi="Arial" w:cs="Arial"/>
          <w:b/>
          <w:i/>
          <w:noProof/>
        </w:rPr>
        <w:t>Keywords</w:t>
      </w:r>
      <w:r w:rsidRPr="00B04C72">
        <w:rPr>
          <w:rFonts w:ascii="Arial" w:hAnsi="Arial" w:cs="Arial"/>
          <w:noProof/>
        </w:rPr>
        <w:t>:</w:t>
      </w:r>
      <w:r w:rsidRPr="00B04C72">
        <w:rPr>
          <w:rFonts w:ascii="Arial" w:hAnsi="Arial" w:cs="Arial"/>
        </w:rPr>
        <w:t xml:space="preserve"> Value chain, livelihood, </w:t>
      </w:r>
      <w:r w:rsidRPr="00B04C72">
        <w:rPr>
          <w:rFonts w:ascii="Arial" w:hAnsi="Arial" w:cs="Arial"/>
          <w:noProof/>
        </w:rPr>
        <w:t>commercialisation</w:t>
      </w:r>
      <w:r w:rsidRPr="00B04C72">
        <w:rPr>
          <w:rFonts w:ascii="Arial" w:hAnsi="Arial" w:cs="Arial"/>
        </w:rPr>
        <w:t>, public policy</w:t>
      </w:r>
    </w:p>
    <w:p w:rsidR="00914631" w:rsidRPr="00B04C72" w:rsidRDefault="00914631">
      <w:pPr>
        <w:rPr>
          <w:rFonts w:ascii="Arial" w:hAnsi="Arial" w:cs="Arial"/>
        </w:rPr>
      </w:pPr>
    </w:p>
    <w:sectPr w:rsidR="00914631" w:rsidRPr="00B0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CysDA0MbE0Nja0NDRW0lEKTi0uzszPAykwrAUAkG6+viwAAAA="/>
  </w:docVars>
  <w:rsids>
    <w:rsidRoot w:val="00B04C72"/>
    <w:rsid w:val="00124C85"/>
    <w:rsid w:val="00914631"/>
    <w:rsid w:val="00B04C72"/>
    <w:rsid w:val="00C23001"/>
    <w:rsid w:val="00CE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73E3"/>
  <w15:chartTrackingRefBased/>
  <w15:docId w15:val="{0B6A7927-B3C6-4716-8E27-0B054575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uthor">
    <w:name w:val="B Author"/>
    <w:link w:val="BAuthorChar"/>
    <w:qFormat/>
    <w:rsid w:val="00B04C72"/>
    <w:pPr>
      <w:tabs>
        <w:tab w:val="left" w:pos="142"/>
      </w:tabs>
      <w:spacing w:after="120" w:line="240" w:lineRule="auto"/>
      <w:jc w:val="right"/>
    </w:pPr>
    <w:rPr>
      <w:rFonts w:ascii="Arial Narrow" w:eastAsia="Calibri" w:hAnsi="Arial Narrow" w:cs="Times New Roman"/>
      <w:b/>
      <w:sz w:val="20"/>
      <w:szCs w:val="18"/>
    </w:rPr>
  </w:style>
  <w:style w:type="character" w:customStyle="1" w:styleId="BAuthorChar">
    <w:name w:val="B Author Char"/>
    <w:link w:val="BAuthor"/>
    <w:rsid w:val="00B04C72"/>
    <w:rPr>
      <w:rFonts w:ascii="Arial Narrow" w:eastAsia="Calibri" w:hAnsi="Arial Narrow" w:cs="Times New Roman"/>
      <w:b/>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 Rana Menggala</dc:creator>
  <cp:keywords/>
  <dc:description/>
  <cp:lastModifiedBy>Sidi Rana Menggala</cp:lastModifiedBy>
  <cp:revision>2</cp:revision>
  <dcterms:created xsi:type="dcterms:W3CDTF">2018-04-15T17:49:00Z</dcterms:created>
  <dcterms:modified xsi:type="dcterms:W3CDTF">2018-04-15T18:00:00Z</dcterms:modified>
</cp:coreProperties>
</file>