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5C" w:rsidRDefault="00AB165C" w:rsidP="00AB16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C183C">
        <w:rPr>
          <w:rFonts w:ascii="Times New Roman" w:hAnsi="Times New Roman" w:cs="Times New Roman"/>
          <w:b/>
          <w:sz w:val="24"/>
          <w:szCs w:val="24"/>
        </w:rPr>
        <w:t xml:space="preserve">imensions of vulnerability to </w:t>
      </w:r>
      <w:r>
        <w:rPr>
          <w:rFonts w:ascii="Times New Roman" w:hAnsi="Times New Roman" w:cs="Times New Roman"/>
          <w:b/>
          <w:sz w:val="24"/>
          <w:szCs w:val="24"/>
        </w:rPr>
        <w:t xml:space="preserve">rural </w:t>
      </w:r>
      <w:r w:rsidRPr="000C183C">
        <w:rPr>
          <w:rFonts w:ascii="Times New Roman" w:hAnsi="Times New Roman" w:cs="Times New Roman"/>
          <w:b/>
          <w:sz w:val="24"/>
          <w:szCs w:val="24"/>
        </w:rPr>
        <w:t>food insecurity: empirical evidence from KwaZulu-Natal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C183C">
        <w:rPr>
          <w:rFonts w:ascii="Times New Roman" w:hAnsi="Times New Roman" w:cs="Times New Roman"/>
          <w:b/>
          <w:sz w:val="24"/>
          <w:szCs w:val="24"/>
        </w:rPr>
        <w:t>South Africa</w:t>
      </w:r>
      <w:r>
        <w:rPr>
          <w:rFonts w:ascii="Times New Roman" w:hAnsi="Times New Roman" w:cs="Times New Roman"/>
          <w:b/>
          <w:sz w:val="24"/>
          <w:szCs w:val="24"/>
        </w:rPr>
        <w:t>) and implications</w:t>
      </w:r>
    </w:p>
    <w:p w:rsidR="00AB165C" w:rsidRPr="000C183C" w:rsidRDefault="00AB165C" w:rsidP="00AB16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29F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andile</w:t>
      </w:r>
      <w:proofErr w:type="spellEnd"/>
      <w:r w:rsidRPr="003429F6">
        <w:rPr>
          <w:rFonts w:ascii="Times New Roman" w:hAnsi="Times New Roman" w:cs="Times New Roman"/>
          <w:b/>
          <w:sz w:val="24"/>
          <w:szCs w:val="24"/>
        </w:rPr>
        <w:t xml:space="preserve"> Mthethwa</w:t>
      </w:r>
      <w:r w:rsidRPr="003429F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3429F6">
        <w:rPr>
          <w:rFonts w:ascii="Times New Roman" w:hAnsi="Times New Roman" w:cs="Times New Roman"/>
          <w:b/>
          <w:sz w:val="24"/>
          <w:szCs w:val="24"/>
        </w:rPr>
        <w:t xml:space="preserve"> and E</w:t>
      </w:r>
      <w:r>
        <w:rPr>
          <w:rFonts w:ascii="Times New Roman" w:hAnsi="Times New Roman" w:cs="Times New Roman"/>
          <w:b/>
          <w:sz w:val="24"/>
          <w:szCs w:val="24"/>
        </w:rPr>
        <w:t>dilegnaw</w:t>
      </w:r>
      <w:r w:rsidRPr="003429F6">
        <w:rPr>
          <w:rFonts w:ascii="Times New Roman" w:hAnsi="Times New Roman" w:cs="Times New Roman"/>
          <w:b/>
          <w:sz w:val="24"/>
          <w:szCs w:val="24"/>
        </w:rPr>
        <w:t xml:space="preserve"> Wale</w:t>
      </w:r>
    </w:p>
    <w:p w:rsidR="00AB165C" w:rsidRPr="000C183C" w:rsidRDefault="00AB165C" w:rsidP="00AB16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83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B165C" w:rsidRPr="000C183C" w:rsidRDefault="00AB165C" w:rsidP="00AB165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3C">
        <w:rPr>
          <w:rFonts w:ascii="Times New Roman" w:hAnsi="Times New Roman" w:cs="Times New Roman"/>
          <w:sz w:val="24"/>
          <w:szCs w:val="24"/>
        </w:rPr>
        <w:t xml:space="preserve">Using a </w:t>
      </w:r>
      <w:r>
        <w:rPr>
          <w:rFonts w:ascii="Times New Roman" w:hAnsi="Times New Roman" w:cs="Times New Roman"/>
          <w:sz w:val="24"/>
          <w:szCs w:val="24"/>
        </w:rPr>
        <w:t xml:space="preserve">result household survey </w:t>
      </w:r>
      <w:r w:rsidRPr="000C183C">
        <w:rPr>
          <w:rFonts w:ascii="Times New Roman" w:hAnsi="Times New Roman" w:cs="Times New Roman"/>
          <w:sz w:val="24"/>
          <w:szCs w:val="24"/>
        </w:rPr>
        <w:t xml:space="preserve">data from a rural area in South Africa,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Umzimkhulu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municipality, </w:t>
      </w:r>
      <w:r w:rsidRPr="000C183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C183C">
        <w:rPr>
          <w:rFonts w:ascii="Times New Roman" w:hAnsi="Times New Roman" w:cs="Times New Roman"/>
          <w:sz w:val="24"/>
          <w:szCs w:val="24"/>
        </w:rPr>
        <w:t xml:space="preserve"> study examines vulnerability to food insecurity </w:t>
      </w:r>
      <w:r>
        <w:rPr>
          <w:rFonts w:ascii="Times New Roman" w:hAnsi="Times New Roman" w:cs="Times New Roman"/>
          <w:sz w:val="24"/>
          <w:szCs w:val="24"/>
        </w:rPr>
        <w:t xml:space="preserve">(VFI) </w:t>
      </w:r>
      <w:r w:rsidRPr="000C183C">
        <w:rPr>
          <w:rFonts w:ascii="Times New Roman" w:hAnsi="Times New Roman" w:cs="Times New Roman"/>
          <w:sz w:val="24"/>
          <w:szCs w:val="24"/>
        </w:rPr>
        <w:t>using the Vulnerability as Expected Poverty (VEP) model, Principal Components Analysis (PCA) and cluster analysis.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C183C">
        <w:rPr>
          <w:rFonts w:ascii="Times New Roman" w:hAnsi="Times New Roman" w:cs="Times New Roman"/>
          <w:sz w:val="24"/>
          <w:szCs w:val="24"/>
        </w:rPr>
        <w:t>study identifies households vulnerable to food insecurity and profil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0C183C">
        <w:rPr>
          <w:rFonts w:ascii="Times New Roman" w:hAnsi="Times New Roman" w:cs="Times New Roman"/>
          <w:sz w:val="24"/>
          <w:szCs w:val="24"/>
        </w:rPr>
        <w:t>the socio-economic and demographic characteristics of the most vulnerable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83C">
        <w:rPr>
          <w:rFonts w:ascii="Times New Roman" w:hAnsi="Times New Roman" w:cs="Times New Roman"/>
          <w:sz w:val="24"/>
          <w:szCs w:val="24"/>
        </w:rPr>
        <w:t xml:space="preserve"> The findings suggest that it is not mere access to resources but utilization (a function of positive psychological capital endowment) that matters most </w:t>
      </w:r>
      <w:r>
        <w:rPr>
          <w:rFonts w:ascii="Times New Roman" w:hAnsi="Times New Roman" w:cs="Times New Roman"/>
          <w:sz w:val="24"/>
          <w:szCs w:val="24"/>
        </w:rPr>
        <w:t xml:space="preserve">to address current </w:t>
      </w:r>
      <w:r w:rsidRPr="000C183C">
        <w:rPr>
          <w:rFonts w:ascii="Times New Roman" w:hAnsi="Times New Roman" w:cs="Times New Roman"/>
          <w:sz w:val="24"/>
          <w:szCs w:val="24"/>
        </w:rPr>
        <w:t>food insecurity and vulnerability</w:t>
      </w:r>
      <w:r>
        <w:rPr>
          <w:rFonts w:ascii="Times New Roman" w:hAnsi="Times New Roman" w:cs="Times New Roman"/>
          <w:sz w:val="24"/>
          <w:szCs w:val="24"/>
        </w:rPr>
        <w:t xml:space="preserve"> in the future</w:t>
      </w:r>
      <w:r w:rsidRPr="000C183C">
        <w:rPr>
          <w:rFonts w:ascii="Times New Roman" w:hAnsi="Times New Roman" w:cs="Times New Roman"/>
          <w:sz w:val="24"/>
          <w:szCs w:val="24"/>
        </w:rPr>
        <w:t xml:space="preserve">. Social and human capital (especially the education level of breadwinners), gender and age-related deprivations and the </w:t>
      </w:r>
      <w:r>
        <w:rPr>
          <w:rFonts w:ascii="Times New Roman" w:hAnsi="Times New Roman" w:cs="Times New Roman"/>
          <w:sz w:val="24"/>
          <w:szCs w:val="24"/>
        </w:rPr>
        <w:t xml:space="preserve">resilience of </w:t>
      </w:r>
      <w:r w:rsidRPr="000C183C">
        <w:rPr>
          <w:rFonts w:ascii="Times New Roman" w:hAnsi="Times New Roman" w:cs="Times New Roman"/>
          <w:sz w:val="24"/>
          <w:szCs w:val="24"/>
        </w:rPr>
        <w:t xml:space="preserve">households </w:t>
      </w:r>
      <w:r>
        <w:rPr>
          <w:rFonts w:ascii="Times New Roman" w:hAnsi="Times New Roman" w:cs="Times New Roman"/>
          <w:sz w:val="24"/>
          <w:szCs w:val="24"/>
        </w:rPr>
        <w:t xml:space="preserve">to shocks </w:t>
      </w:r>
      <w:r w:rsidRPr="000C183C">
        <w:rPr>
          <w:rFonts w:ascii="Times New Roman" w:hAnsi="Times New Roman" w:cs="Times New Roman"/>
          <w:sz w:val="24"/>
          <w:szCs w:val="24"/>
        </w:rPr>
        <w:t xml:space="preserve">are the most important influencers. </w:t>
      </w:r>
      <w:r>
        <w:rPr>
          <w:rFonts w:ascii="Times New Roman" w:hAnsi="Times New Roman" w:cs="Times New Roman"/>
          <w:sz w:val="24"/>
          <w:szCs w:val="24"/>
        </w:rPr>
        <w:t>An increase in age is an asset until about 65 beyond which it starts to become a liability. Unlike many studies in the past which do not distinguish consumption and production credit, the results in this study show that e</w:t>
      </w:r>
      <w:r w:rsidRPr="000C183C">
        <w:rPr>
          <w:rFonts w:ascii="Times New Roman" w:hAnsi="Times New Roman" w:cs="Times New Roman"/>
          <w:sz w:val="24"/>
          <w:szCs w:val="24"/>
        </w:rPr>
        <w:t xml:space="preserve">asy consumption credit improves access to food in the short-term but depletes asset base in the long-term and </w:t>
      </w:r>
      <w:r>
        <w:rPr>
          <w:rFonts w:ascii="Times New Roman" w:hAnsi="Times New Roman" w:cs="Times New Roman"/>
          <w:sz w:val="24"/>
          <w:szCs w:val="24"/>
        </w:rPr>
        <w:t>exacerbates</w:t>
      </w:r>
      <w:r w:rsidRPr="000C183C">
        <w:rPr>
          <w:rFonts w:ascii="Times New Roman" w:hAnsi="Times New Roman" w:cs="Times New Roman"/>
          <w:sz w:val="24"/>
          <w:szCs w:val="24"/>
        </w:rPr>
        <w:t xml:space="preserve"> vulnerability</w:t>
      </w:r>
      <w:r>
        <w:rPr>
          <w:rFonts w:ascii="Times New Roman" w:hAnsi="Times New Roman" w:cs="Times New Roman"/>
          <w:sz w:val="24"/>
          <w:szCs w:val="24"/>
        </w:rPr>
        <w:t xml:space="preserve"> to food insecurity</w:t>
      </w:r>
      <w:r w:rsidRPr="000C183C">
        <w:rPr>
          <w:rFonts w:ascii="Times New Roman" w:hAnsi="Times New Roman" w:cs="Times New Roman"/>
          <w:sz w:val="24"/>
          <w:szCs w:val="24"/>
        </w:rPr>
        <w:t>. Credit and finance institutions operating in rural areas have to be better regulated</w:t>
      </w:r>
      <w:r>
        <w:rPr>
          <w:rFonts w:ascii="Times New Roman" w:hAnsi="Times New Roman" w:cs="Times New Roman"/>
          <w:sz w:val="24"/>
          <w:szCs w:val="24"/>
        </w:rPr>
        <w:t xml:space="preserve"> so that they can focus on production not consumption credit</w:t>
      </w:r>
      <w:r w:rsidRPr="000C183C">
        <w:rPr>
          <w:rFonts w:ascii="Times New Roman" w:hAnsi="Times New Roman" w:cs="Times New Roman"/>
          <w:sz w:val="24"/>
          <w:szCs w:val="24"/>
        </w:rPr>
        <w:t xml:space="preserve">. On equity grounds, decision-makers </w:t>
      </w:r>
      <w:r>
        <w:rPr>
          <w:rFonts w:ascii="Times New Roman" w:hAnsi="Times New Roman" w:cs="Times New Roman"/>
          <w:sz w:val="24"/>
          <w:szCs w:val="24"/>
        </w:rPr>
        <w:t>will have t</w:t>
      </w:r>
      <w:r w:rsidRPr="000C183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target </w:t>
      </w:r>
      <w:r w:rsidRPr="000C183C">
        <w:rPr>
          <w:rFonts w:ascii="Times New Roman" w:hAnsi="Times New Roman" w:cs="Times New Roman"/>
          <w:sz w:val="24"/>
          <w:szCs w:val="24"/>
        </w:rPr>
        <w:t xml:space="preserve">the vulnerable segment of the population, including those households that are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0C183C">
        <w:rPr>
          <w:rFonts w:ascii="Times New Roman" w:hAnsi="Times New Roman" w:cs="Times New Roman"/>
          <w:sz w:val="24"/>
          <w:szCs w:val="24"/>
        </w:rPr>
        <w:t>food insecure</w:t>
      </w:r>
      <w:r>
        <w:rPr>
          <w:rFonts w:ascii="Times New Roman" w:hAnsi="Times New Roman" w:cs="Times New Roman"/>
          <w:sz w:val="24"/>
          <w:szCs w:val="24"/>
        </w:rPr>
        <w:t xml:space="preserve"> but more likely to be secured (transient)</w:t>
      </w:r>
      <w:r w:rsidRPr="000C183C">
        <w:rPr>
          <w:rFonts w:ascii="Times New Roman" w:hAnsi="Times New Roman" w:cs="Times New Roman"/>
          <w:sz w:val="24"/>
          <w:szCs w:val="24"/>
        </w:rPr>
        <w:t>, food insecure</w:t>
      </w:r>
      <w:r>
        <w:rPr>
          <w:rFonts w:ascii="Times New Roman" w:hAnsi="Times New Roman" w:cs="Times New Roman"/>
          <w:sz w:val="24"/>
          <w:szCs w:val="24"/>
        </w:rPr>
        <w:t xml:space="preserve"> and vulnerable</w:t>
      </w:r>
      <w:r w:rsidRPr="000C183C">
        <w:rPr>
          <w:rFonts w:ascii="Times New Roman" w:hAnsi="Times New Roman" w:cs="Times New Roman"/>
          <w:sz w:val="24"/>
          <w:szCs w:val="24"/>
        </w:rPr>
        <w:t>, and currently food secure but vulnerable. The last group can easily remain food secure with marginal and less costly interventions.</w:t>
      </w:r>
    </w:p>
    <w:p w:rsidR="00AB165C" w:rsidRPr="000C183C" w:rsidRDefault="00AB165C" w:rsidP="00AB165C">
      <w:pPr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83C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Pr="00AB165C">
        <w:rPr>
          <w:rFonts w:ascii="Times New Roman" w:hAnsi="Times New Roman" w:cs="Times New Roman"/>
          <w:sz w:val="24"/>
          <w:szCs w:val="24"/>
        </w:rPr>
        <w:t>V</w:t>
      </w:r>
      <w:r w:rsidRPr="000C183C">
        <w:rPr>
          <w:rFonts w:ascii="Times New Roman" w:hAnsi="Times New Roman" w:cs="Times New Roman"/>
          <w:sz w:val="24"/>
          <w:szCs w:val="24"/>
        </w:rPr>
        <w:t xml:space="preserve">ulnerability to food insecurity, </w:t>
      </w:r>
      <w:r>
        <w:rPr>
          <w:rFonts w:ascii="Times New Roman" w:hAnsi="Times New Roman" w:cs="Times New Roman"/>
          <w:sz w:val="24"/>
          <w:szCs w:val="24"/>
        </w:rPr>
        <w:t>consumption credit</w:t>
      </w:r>
      <w:r w:rsidRPr="000C183C">
        <w:rPr>
          <w:rFonts w:ascii="Times New Roman" w:hAnsi="Times New Roman" w:cs="Times New Roman"/>
          <w:sz w:val="24"/>
          <w:szCs w:val="24"/>
        </w:rPr>
        <w:t>, dietary diversity, typology of vulnerability, KwaZulu-Natal</w:t>
      </w:r>
    </w:p>
    <w:p w:rsidR="00F34142" w:rsidRDefault="00F34142"/>
    <w:sectPr w:rsidR="00F3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69" w:rsidRDefault="00326369" w:rsidP="00AB165C">
      <w:pPr>
        <w:spacing w:after="0" w:line="240" w:lineRule="auto"/>
      </w:pPr>
      <w:r>
        <w:separator/>
      </w:r>
    </w:p>
  </w:endnote>
  <w:endnote w:type="continuationSeparator" w:id="0">
    <w:p w:rsidR="00326369" w:rsidRDefault="00326369" w:rsidP="00A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69" w:rsidRDefault="00326369" w:rsidP="00AB165C">
      <w:pPr>
        <w:spacing w:after="0" w:line="240" w:lineRule="auto"/>
      </w:pPr>
      <w:r>
        <w:separator/>
      </w:r>
    </w:p>
  </w:footnote>
  <w:footnote w:type="continuationSeparator" w:id="0">
    <w:p w:rsidR="00326369" w:rsidRDefault="00326369" w:rsidP="00AB165C">
      <w:pPr>
        <w:spacing w:after="0" w:line="240" w:lineRule="auto"/>
      </w:pPr>
      <w:r>
        <w:continuationSeparator/>
      </w:r>
    </w:p>
  </w:footnote>
  <w:footnote w:id="1">
    <w:p w:rsidR="00AB165C" w:rsidRPr="00242CE6" w:rsidRDefault="00AB165C" w:rsidP="00AB165C">
      <w:pPr>
        <w:pStyle w:val="FootnoteTex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42C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42CE6">
        <w:rPr>
          <w:rFonts w:ascii="Times New Roman" w:hAnsi="Times New Roman" w:cs="Times New Roman"/>
          <w:sz w:val="24"/>
          <w:szCs w:val="24"/>
        </w:rPr>
        <w:t>Respectively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2CE6">
        <w:rPr>
          <w:rFonts w:ascii="Times New Roman" w:hAnsi="Times New Roman" w:cs="Times New Roman"/>
          <w:sz w:val="24"/>
          <w:szCs w:val="24"/>
        </w:rPr>
        <w:t xml:space="preserve"> MSc </w:t>
      </w:r>
      <w:r>
        <w:rPr>
          <w:rFonts w:ascii="Times New Roman" w:hAnsi="Times New Roman" w:cs="Times New Roman"/>
          <w:sz w:val="24"/>
          <w:szCs w:val="24"/>
        </w:rPr>
        <w:t>student (</w:t>
      </w:r>
      <w:hyperlink r:id="rId1" w:history="1">
        <w:r w:rsidRPr="007D6D95">
          <w:rPr>
            <w:rStyle w:val="Hyperlink"/>
            <w:rFonts w:ascii="Times New Roman" w:hAnsi="Times New Roman" w:cs="Times New Roman"/>
            <w:sz w:val="24"/>
            <w:szCs w:val="24"/>
          </w:rPr>
          <w:t>sandilemth@gmail.com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42CE6">
        <w:rPr>
          <w:rFonts w:ascii="Times New Roman" w:hAnsi="Times New Roman" w:cs="Times New Roman"/>
          <w:sz w:val="24"/>
          <w:szCs w:val="24"/>
        </w:rPr>
        <w:t>and Associate Professor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2" w:history="1">
        <w:r w:rsidRPr="007D6D95">
          <w:rPr>
            <w:rStyle w:val="Hyperlink"/>
            <w:rFonts w:ascii="Times New Roman" w:hAnsi="Times New Roman" w:cs="Times New Roman"/>
            <w:sz w:val="24"/>
            <w:szCs w:val="24"/>
          </w:rPr>
          <w:t>WaleE@ukzn.ac.za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42CE6">
        <w:rPr>
          <w:rFonts w:ascii="Times New Roman" w:hAnsi="Times New Roman" w:cs="Times New Roman"/>
          <w:sz w:val="24"/>
          <w:szCs w:val="24"/>
        </w:rPr>
        <w:t>School of Agricultural, Earth and Environmental Sciences, Discipline of Agricultural Economics, University of KwaZulu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2CE6">
        <w:rPr>
          <w:rFonts w:ascii="Times New Roman" w:hAnsi="Times New Roman" w:cs="Times New Roman"/>
          <w:sz w:val="24"/>
          <w:szCs w:val="24"/>
        </w:rPr>
        <w:t xml:space="preserve">Natal, Private Bag X01, Scottsville, 3209, Pietermaritzburg, </w:t>
      </w:r>
      <w:r w:rsidRPr="00B947FD">
        <w:rPr>
          <w:rFonts w:ascii="Times New Roman" w:hAnsi="Times New Roman" w:cs="Times New Roman"/>
          <w:b/>
          <w:sz w:val="24"/>
          <w:szCs w:val="24"/>
        </w:rPr>
        <w:t>South Africa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5C"/>
    <w:rsid w:val="00326369"/>
    <w:rsid w:val="00AB165C"/>
    <w:rsid w:val="00F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003955"/>
  <w15:chartTrackingRefBased/>
  <w15:docId w15:val="{097B1E3C-8134-42E0-9526-B33FE0BF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65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B165C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65C"/>
    <w:rPr>
      <w:rFonts w:eastAsiaTheme="minorEastAsia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B165C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B1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WaleE@ukzn.ac.za" TargetMode="External"/><Relationship Id="rId1" Type="http://schemas.openxmlformats.org/officeDocument/2006/relationships/hyperlink" Target="mailto:sandilem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Edilegnaw Wale</dc:creator>
  <cp:keywords/>
  <dc:description/>
  <cp:lastModifiedBy>Edilegnaw Wale</cp:lastModifiedBy>
  <cp:revision>1</cp:revision>
  <dcterms:created xsi:type="dcterms:W3CDTF">2018-02-17T15:40:00Z</dcterms:created>
  <dcterms:modified xsi:type="dcterms:W3CDTF">2018-02-17T15:47:00Z</dcterms:modified>
</cp:coreProperties>
</file>