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5B525" w14:textId="3EAB99A3" w:rsidR="00C73607" w:rsidRPr="00550320" w:rsidRDefault="00C73607" w:rsidP="00C73607">
      <w:pPr>
        <w:pStyle w:val="WEDC-Authorsandcountry"/>
        <w:rPr>
          <w:lang w:val="en-US"/>
        </w:rPr>
      </w:pPr>
      <w:r>
        <w:t>“</w:t>
      </w:r>
      <w:r w:rsidRPr="007E0E3A">
        <w:rPr>
          <w:rFonts w:eastAsiaTheme="minorHAnsi"/>
          <w:bCs w:val="0"/>
          <w:i w:val="0"/>
          <w:color w:val="auto"/>
          <w:lang w:val="en-US"/>
        </w:rPr>
        <w:t>Governance challenges of community forestry</w:t>
      </w:r>
      <w:r>
        <w:rPr>
          <w:rFonts w:eastAsiaTheme="minorHAnsi"/>
          <w:bCs w:val="0"/>
          <w:i w:val="0"/>
          <w:color w:val="auto"/>
          <w:lang w:val="en-US"/>
        </w:rPr>
        <w:t>: T</w:t>
      </w:r>
      <w:r w:rsidRPr="007E0E3A">
        <w:rPr>
          <w:rFonts w:eastAsiaTheme="minorHAnsi"/>
          <w:bCs w:val="0"/>
          <w:i w:val="0"/>
          <w:color w:val="auto"/>
          <w:lang w:val="en-US"/>
        </w:rPr>
        <w:t>he perspective of local actors</w:t>
      </w:r>
      <w:r>
        <w:rPr>
          <w:rStyle w:val="Refdecomentario"/>
          <w:rFonts w:asciiTheme="minorHAnsi" w:eastAsiaTheme="minorHAnsi" w:hAnsiTheme="minorHAnsi" w:cstheme="minorBidi"/>
          <w:bCs w:val="0"/>
          <w:i w:val="0"/>
          <w:color w:val="auto"/>
          <w:lang w:val="es-CO"/>
        </w:rPr>
        <w:t/>
      </w:r>
      <w:r>
        <w:rPr>
          <w:rFonts w:eastAsiaTheme="minorHAnsi"/>
          <w:bCs w:val="0"/>
          <w:i w:val="0"/>
          <w:color w:val="auto"/>
          <w:lang w:val="en-US"/>
        </w:rPr>
        <w:t xml:space="preserve"> </w:t>
      </w:r>
      <w:r w:rsidRPr="007E0E3A">
        <w:rPr>
          <w:rFonts w:eastAsiaTheme="minorHAnsi"/>
          <w:bCs w:val="0"/>
          <w:i w:val="0"/>
          <w:color w:val="auto"/>
          <w:lang w:val="en-US"/>
        </w:rPr>
        <w:t xml:space="preserve">in </w:t>
      </w:r>
      <w:r>
        <w:rPr>
          <w:rFonts w:eastAsiaTheme="minorHAnsi"/>
          <w:bCs w:val="0"/>
          <w:i w:val="0"/>
          <w:color w:val="auto"/>
          <w:lang w:val="en-US"/>
        </w:rPr>
        <w:t xml:space="preserve">Petén, Guatemala and </w:t>
      </w:r>
      <w:r w:rsidRPr="007E0E3A">
        <w:rPr>
          <w:rFonts w:eastAsiaTheme="minorHAnsi"/>
          <w:bCs w:val="0"/>
          <w:i w:val="0"/>
          <w:color w:val="auto"/>
          <w:lang w:val="en-US"/>
        </w:rPr>
        <w:t xml:space="preserve">the </w:t>
      </w:r>
      <w:r>
        <w:rPr>
          <w:rFonts w:eastAsiaTheme="minorHAnsi"/>
          <w:bCs w:val="0"/>
          <w:i w:val="0"/>
          <w:color w:val="auto"/>
          <w:lang w:val="en-US"/>
        </w:rPr>
        <w:t>M</w:t>
      </w:r>
      <w:r w:rsidRPr="007E0E3A">
        <w:rPr>
          <w:rFonts w:eastAsiaTheme="minorHAnsi"/>
          <w:bCs w:val="0"/>
          <w:i w:val="0"/>
          <w:color w:val="auto"/>
          <w:lang w:val="en-US"/>
        </w:rPr>
        <w:t>iskito territory</w:t>
      </w:r>
      <w:r>
        <w:rPr>
          <w:rFonts w:eastAsiaTheme="minorHAnsi"/>
          <w:bCs w:val="0"/>
          <w:i w:val="0"/>
          <w:color w:val="auto"/>
          <w:lang w:val="en-US"/>
        </w:rPr>
        <w:t xml:space="preserve">, </w:t>
      </w:r>
      <w:r w:rsidRPr="007E0E3A">
        <w:rPr>
          <w:rFonts w:eastAsiaTheme="minorHAnsi"/>
          <w:bCs w:val="0"/>
          <w:i w:val="0"/>
          <w:color w:val="auto"/>
          <w:lang w:val="en-US"/>
        </w:rPr>
        <w:t>Nicaragua</w:t>
      </w:r>
      <w:r>
        <w:rPr>
          <w:rFonts w:eastAsiaTheme="minorHAnsi"/>
          <w:bCs w:val="0"/>
          <w:i w:val="0"/>
          <w:color w:val="auto"/>
          <w:lang w:val="en-US"/>
        </w:rPr>
        <w:t>”</w:t>
      </w:r>
    </w:p>
    <w:p w14:paraId="573B2C50" w14:textId="77777777" w:rsidR="007E0E3A" w:rsidRPr="007E0E3A" w:rsidRDefault="007E0E3A" w:rsidP="00092568">
      <w:pPr>
        <w:pStyle w:val="WEDC-Authorsandcountry"/>
        <w:rPr>
          <w:lang w:val="en-US"/>
        </w:rPr>
      </w:pPr>
    </w:p>
    <w:p w14:paraId="15E66583" w14:textId="664B4B12" w:rsidR="00092568" w:rsidRPr="00406AA7" w:rsidRDefault="00092568" w:rsidP="00092568">
      <w:pPr>
        <w:pStyle w:val="WEDC-Authorsandcountry"/>
        <w:rPr>
          <w:vertAlign w:val="superscript"/>
          <w:lang w:val="es-CO"/>
        </w:rPr>
      </w:pPr>
      <w:r w:rsidRPr="00406AA7">
        <w:rPr>
          <w:lang w:val="es-CO"/>
        </w:rPr>
        <w:t xml:space="preserve">Mónica </w:t>
      </w:r>
      <w:r w:rsidR="00380BDC" w:rsidRPr="00406AA7">
        <w:rPr>
          <w:lang w:val="es-CO"/>
        </w:rPr>
        <w:t xml:space="preserve"> </w:t>
      </w:r>
      <w:r w:rsidRPr="00406AA7">
        <w:rPr>
          <w:lang w:val="es-CO"/>
        </w:rPr>
        <w:t>Orjuela Vásquez</w:t>
      </w:r>
      <w:r w:rsidR="00536300" w:rsidRPr="00406AA7">
        <w:rPr>
          <w:lang w:val="es-CO"/>
        </w:rPr>
        <w:t xml:space="preserve"> </w:t>
      </w:r>
      <w:r w:rsidR="00536300" w:rsidRPr="00406AA7">
        <w:rPr>
          <w:vertAlign w:val="superscript"/>
          <w:lang w:val="es-CO"/>
        </w:rPr>
        <w:t>1</w:t>
      </w:r>
      <w:r w:rsidR="00380BDC" w:rsidRPr="00406AA7">
        <w:rPr>
          <w:lang w:val="es-CO"/>
        </w:rPr>
        <w:t>, Ronnie De Camino</w:t>
      </w:r>
      <w:r w:rsidR="00536300" w:rsidRPr="00406AA7">
        <w:rPr>
          <w:vertAlign w:val="superscript"/>
          <w:lang w:val="es-CO"/>
        </w:rPr>
        <w:t>2</w:t>
      </w:r>
    </w:p>
    <w:p w14:paraId="18C85242" w14:textId="77777777" w:rsidR="00632201" w:rsidRPr="00406AA7" w:rsidRDefault="00632201" w:rsidP="00092568">
      <w:pPr>
        <w:pStyle w:val="WEDC-Authorsandcountry"/>
        <w:rPr>
          <w:vertAlign w:val="superscript"/>
          <w:lang w:val="es-CO"/>
        </w:rPr>
      </w:pPr>
    </w:p>
    <w:p w14:paraId="0182FA48" w14:textId="53FAE385" w:rsidR="00632201" w:rsidRDefault="00632201" w:rsidP="0063220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CATIE Centro Agronómico </w:t>
      </w:r>
      <w:r w:rsidR="00F4506E">
        <w:rPr>
          <w:rFonts w:ascii="Times New Roman" w:hAnsi="Times New Roman"/>
        </w:rPr>
        <w:t>Tropical</w:t>
      </w:r>
      <w:r>
        <w:rPr>
          <w:rFonts w:ascii="Times New Roman" w:hAnsi="Times New Roman"/>
        </w:rPr>
        <w:t xml:space="preserve"> de Investigación y Enseñanza, Costa Rica</w:t>
      </w:r>
    </w:p>
    <w:p w14:paraId="70490F6B" w14:textId="5AF75149" w:rsidR="00632201" w:rsidRPr="007E0E3A" w:rsidRDefault="00632201" w:rsidP="00406AA7">
      <w:pPr>
        <w:shd w:val="clear" w:color="auto" w:fill="FFFFFF"/>
        <w:rPr>
          <w:rFonts w:ascii="Segoe UI" w:eastAsia="Times New Roman" w:hAnsi="Segoe UI" w:cs="Segoe UI"/>
          <w:sz w:val="23"/>
          <w:szCs w:val="23"/>
          <w:lang w:eastAsia="es-CO"/>
        </w:rPr>
      </w:pPr>
      <w:r>
        <w:rPr>
          <w:rFonts w:ascii="Times New Roman" w:hAnsi="Times New Roman"/>
        </w:rPr>
        <w:t xml:space="preserve">2 </w:t>
      </w:r>
      <w:r w:rsidRPr="00406AA7">
        <w:rPr>
          <w:rFonts w:ascii="Times New Roman" w:hAnsi="Times New Roman"/>
        </w:rPr>
        <w:t xml:space="preserve">CATIE </w:t>
      </w:r>
      <w:r w:rsidRPr="007E0E3A">
        <w:rPr>
          <w:rFonts w:ascii="Arial" w:eastAsia="Times New Roman" w:hAnsi="Arial" w:cs="Arial"/>
          <w:sz w:val="20"/>
          <w:szCs w:val="20"/>
          <w:lang w:eastAsia="es-CO"/>
        </w:rPr>
        <w:t>Director Cátedra Latinoamericana de Gestión Forestal Territorial</w:t>
      </w:r>
      <w:r w:rsidR="00406AA7" w:rsidRPr="007E0E3A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r w:rsidR="00406AA7" w:rsidRPr="00406AA7">
        <w:rPr>
          <w:rFonts w:ascii="Times New Roman" w:hAnsi="Times New Roman"/>
        </w:rPr>
        <w:t>Costa Rica</w:t>
      </w:r>
    </w:p>
    <w:p w14:paraId="7F28AE2C" w14:textId="338E1138" w:rsidR="00632201" w:rsidRPr="00406AA7" w:rsidRDefault="00632201" w:rsidP="00632201">
      <w:pPr>
        <w:spacing w:after="0"/>
        <w:jc w:val="both"/>
        <w:rPr>
          <w:rFonts w:ascii="Times New Roman" w:hAnsi="Times New Roman"/>
        </w:rPr>
      </w:pPr>
    </w:p>
    <w:p w14:paraId="2315419D" w14:textId="77777777" w:rsidR="00632201" w:rsidRPr="00092568" w:rsidRDefault="00632201" w:rsidP="00406AA7">
      <w:pPr>
        <w:pStyle w:val="WEDC-Authorsandcountry"/>
        <w:jc w:val="left"/>
        <w:rPr>
          <w:vertAlign w:val="superscript"/>
          <w:lang w:val="es-CO"/>
        </w:rPr>
      </w:pPr>
    </w:p>
    <w:p w14:paraId="42D11C8B" w14:textId="77777777" w:rsidR="00092568" w:rsidRDefault="00092568" w:rsidP="00092568">
      <w:pPr>
        <w:pStyle w:val="WEDC-Authorsandcountry"/>
        <w:jc w:val="both"/>
        <w:rPr>
          <w:rFonts w:eastAsia="Lantinghei SC"/>
          <w:sz w:val="22"/>
          <w:szCs w:val="22"/>
          <w:lang w:val="es-CO"/>
        </w:rPr>
      </w:pPr>
    </w:p>
    <w:p w14:paraId="6B40E50C" w14:textId="77777777" w:rsidR="00092568" w:rsidRPr="007E0E3A" w:rsidRDefault="00092568" w:rsidP="00092568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Toc437923564"/>
      <w:r w:rsidRPr="007E0E3A">
        <w:rPr>
          <w:rFonts w:ascii="Times New Roman" w:hAnsi="Times New Roman" w:cs="Times New Roman"/>
          <w:sz w:val="24"/>
          <w:szCs w:val="24"/>
          <w:lang w:val="en-US"/>
        </w:rPr>
        <w:t>ABSTRACT</w:t>
      </w:r>
      <w:bookmarkEnd w:id="0"/>
    </w:p>
    <w:p w14:paraId="6FFDE090" w14:textId="48CB0753" w:rsidR="00143859" w:rsidRDefault="00550320" w:rsidP="00C403C8">
      <w:pPr>
        <w:spacing w:line="23" w:lineRule="atLeast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Governance of community forestry spans from local to national levels and</w:t>
      </w:r>
      <w:r w:rsidR="00C403C8">
        <w:rPr>
          <w:rFonts w:ascii="Times New Roman" w:hAnsi="Times New Roman" w:cs="Times New Roman"/>
          <w:sz w:val="24"/>
          <w:szCs w:val="24"/>
          <w:lang w:val="en-US"/>
        </w:rPr>
        <w:t xml:space="preserve">, in cross-border territories, </w:t>
      </w:r>
      <w:r>
        <w:rPr>
          <w:rFonts w:ascii="Times New Roman" w:hAnsi="Times New Roman" w:cs="Times New Roman"/>
          <w:sz w:val="24"/>
          <w:szCs w:val="24"/>
          <w:lang w:val="en-US"/>
        </w:rPr>
        <w:t>beyond. T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study adopted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the perspective of local actors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determine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enabling conditions that allow governmental entities to renovate and strengthen community forestry agreements in two community forestry concessions in the Maya Biosphere Reserve</w:t>
      </w:r>
      <w:r w:rsidR="00DD28BA">
        <w:rPr>
          <w:rFonts w:ascii="Times New Roman" w:hAnsi="Times New Roman" w:cs="Times New Roman"/>
          <w:sz w:val="24"/>
          <w:szCs w:val="24"/>
          <w:lang w:val="en-US"/>
        </w:rPr>
        <w:t xml:space="preserve"> (MRB)</w:t>
      </w:r>
      <w:r w:rsidR="002437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Guatemala and two Forest Management Units</w:t>
      </w:r>
      <w:r w:rsidR="00243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Pr="008E5A3C">
        <w:rPr>
          <w:rFonts w:ascii="Times New Roman" w:hAnsi="Times New Roman" w:cs="Times New Roman"/>
          <w:sz w:val="24"/>
          <w:szCs w:val="24"/>
          <w:lang w:val="en-US"/>
        </w:rPr>
        <w:t xml:space="preserve">North Caribbean Coast </w:t>
      </w:r>
      <w:r w:rsidR="00DD28BA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Nicar</w:t>
      </w:r>
      <w:r w:rsidR="00243709">
        <w:rPr>
          <w:rFonts w:ascii="Times New Roman" w:hAnsi="Times New Roman" w:cs="Times New Roman"/>
          <w:sz w:val="24"/>
          <w:szCs w:val="24"/>
          <w:lang w:val="en-US"/>
        </w:rPr>
        <w:t>agua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applied </w:t>
      </w:r>
      <w:r w:rsidR="00243709">
        <w:rPr>
          <w:rFonts w:ascii="Times New Roman" w:hAnsi="Times New Roman" w:cs="Times New Roman"/>
          <w:sz w:val="24"/>
          <w:szCs w:val="24"/>
          <w:lang w:val="en-US"/>
        </w:rPr>
        <w:t>FAO´s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Framework for Evaluation and Monitoring of Forest Governance to identify relevant aspects of community forestry governance </w:t>
      </w:r>
      <w:r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388">
        <w:rPr>
          <w:rFonts w:ascii="Times New Roman" w:hAnsi="Times New Roman" w:cs="Times New Roman"/>
          <w:sz w:val="24"/>
          <w:szCs w:val="24"/>
          <w:lang w:val="en-US"/>
        </w:rPr>
        <w:t>three reference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framework</w:t>
      </w:r>
      <w:r w:rsidR="00872388">
        <w:rPr>
          <w:rFonts w:ascii="Times New Roman" w:hAnsi="Times New Roman" w:cs="Times New Roman"/>
          <w:sz w:val="24"/>
          <w:szCs w:val="24"/>
          <w:lang w:val="en-US"/>
        </w:rPr>
        <w:t>s: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legal conditions of 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ommunity 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orestry, P</w:t>
      </w:r>
      <w:r w:rsidR="005552C1">
        <w:rPr>
          <w:rFonts w:ascii="Times New Roman" w:hAnsi="Times New Roman" w:cs="Times New Roman"/>
          <w:sz w:val="24"/>
          <w:szCs w:val="24"/>
          <w:lang w:val="en-US"/>
        </w:rPr>
        <w:t xml:space="preserve">rinciples,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552C1">
        <w:rPr>
          <w:rFonts w:ascii="Times New Roman" w:hAnsi="Times New Roman" w:cs="Times New Roman"/>
          <w:sz w:val="24"/>
          <w:szCs w:val="24"/>
          <w:lang w:val="en-US"/>
        </w:rPr>
        <w:t xml:space="preserve">riteria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555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552C1">
        <w:rPr>
          <w:rFonts w:ascii="Times New Roman" w:hAnsi="Times New Roman" w:cs="Times New Roman"/>
          <w:sz w:val="24"/>
          <w:szCs w:val="24"/>
          <w:lang w:val="en-US"/>
        </w:rPr>
        <w:t>ndicators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DD28BA">
        <w:rPr>
          <w:rFonts w:ascii="Times New Roman" w:hAnsi="Times New Roman" w:cs="Times New Roman"/>
          <w:sz w:val="24"/>
          <w:szCs w:val="24"/>
          <w:lang w:val="en-US"/>
        </w:rPr>
        <w:t>Forest Stewardship Council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and the principles of Active Territorial Governance. 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rom 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 xml:space="preserve">each of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perspectives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community forestry groups have played a crucial role in 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>advancing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sustainable use of the forests 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4370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5040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4370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>along with</w:t>
      </w:r>
      <w:r w:rsidR="00C504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3FC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social benefits</w:t>
      </w:r>
      <w:bookmarkStart w:id="1" w:name="_GoBack"/>
      <w:bookmarkEnd w:id="1"/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>accruing to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22C3A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members. </w:t>
      </w:r>
      <w:r w:rsidR="000211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owever, community forestry </w:t>
      </w:r>
      <w:r w:rsidR="001806A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threatened by the lack of political will to deal with the dynamics of opening the agricultural frontier, </w:t>
      </w:r>
      <w:r w:rsidR="005552C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the institutional and organizational weaknesses of the community groups, puts</w:t>
      </w:r>
      <w:r w:rsidR="00E669D3">
        <w:rPr>
          <w:rFonts w:ascii="Times New Roman" w:hAnsi="Times New Roman" w:cs="Times New Roman"/>
          <w:sz w:val="24"/>
          <w:szCs w:val="24"/>
          <w:lang w:val="en-US"/>
        </w:rPr>
        <w:t xml:space="preserve"> community forestry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in a position of high vulnerability. </w:t>
      </w:r>
      <w:r w:rsidR="002437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 xml:space="preserve">both countries,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>principal impediment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to community forestry is 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>the governments’ limited capacity or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will to 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 xml:space="preserve">effectively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control the illegal usurpation of land 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>earmarked for</w:t>
      </w:r>
      <w:r w:rsidR="00D10C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 xml:space="preserve"> or with high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potential 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>to initiate</w:t>
      </w:r>
      <w:r w:rsidR="00D10C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community forest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>ry.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 xml:space="preserve">The resulting advance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of the agricultural frontier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 xml:space="preserve"> by diverse stakeholders</w:t>
      </w:r>
      <w:r w:rsidR="005A7E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 xml:space="preserve"> ranging from marginalized, often landless people to powerful interest groups involved in both licit and illicit activities</w:t>
      </w:r>
      <w:r w:rsidR="005A7E0F">
        <w:rPr>
          <w:rFonts w:ascii="Times New Roman" w:hAnsi="Times New Roman" w:cs="Times New Roman"/>
          <w:sz w:val="24"/>
          <w:szCs w:val="24"/>
          <w:lang w:val="en-US"/>
        </w:rPr>
        <w:t>, leaves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the communit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0EB8">
        <w:rPr>
          <w:rFonts w:ascii="Times New Roman" w:hAnsi="Times New Roman" w:cs="Times New Roman"/>
          <w:sz w:val="24"/>
          <w:szCs w:val="24"/>
          <w:lang w:val="en-US"/>
        </w:rPr>
        <w:t>with limited options to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>resolve</w:t>
      </w:r>
      <w:r w:rsidR="00C5040F">
        <w:rPr>
          <w:rFonts w:ascii="Times New Roman" w:hAnsi="Times New Roman" w:cs="Times New Roman"/>
          <w:sz w:val="24"/>
          <w:szCs w:val="24"/>
          <w:lang w:val="en-US"/>
        </w:rPr>
        <w:t xml:space="preserve"> conflicts over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land and 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forest use </w:t>
      </w:r>
      <w:r w:rsidR="00092568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rights. 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From a 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actors’ 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>perspective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>n inclusive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 process of territorial planning 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appears 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viable 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solution to 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resolve these 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>over natural resource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 governance. We conclude with 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outlook on how such an 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 xml:space="preserve">integrated management approach at landscape level </w:t>
      </w:r>
      <w:r w:rsidR="0007431C">
        <w:rPr>
          <w:rFonts w:ascii="Times New Roman" w:hAnsi="Times New Roman" w:cs="Times New Roman"/>
          <w:sz w:val="24"/>
          <w:szCs w:val="24"/>
          <w:lang w:val="en-US"/>
        </w:rPr>
        <w:t xml:space="preserve">could be implemented with high degrees of </w:t>
      </w:r>
      <w:r w:rsidR="00143859" w:rsidRPr="00770D6E">
        <w:rPr>
          <w:rFonts w:ascii="Times New Roman" w:hAnsi="Times New Roman" w:cs="Times New Roman"/>
          <w:sz w:val="24"/>
          <w:szCs w:val="24"/>
          <w:lang w:val="en-US"/>
        </w:rPr>
        <w:t>social legitimacy.</w:t>
      </w:r>
    </w:p>
    <w:sectPr w:rsidR="00143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ntinghei SC">
    <w:altName w:val="Arial Unicode MS"/>
    <w:charset w:val="88"/>
    <w:family w:val="auto"/>
    <w:pitch w:val="variable"/>
    <w:sig w:usb0="00000000" w:usb1="08080000" w:usb2="00000010" w:usb3="00000000" w:csb0="001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710A"/>
    <w:multiLevelType w:val="multilevel"/>
    <w:tmpl w:val="32DA239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68"/>
    <w:rsid w:val="000211EB"/>
    <w:rsid w:val="0007431C"/>
    <w:rsid w:val="00092568"/>
    <w:rsid w:val="00131B6B"/>
    <w:rsid w:val="00143859"/>
    <w:rsid w:val="001806A3"/>
    <w:rsid w:val="00243709"/>
    <w:rsid w:val="0035378D"/>
    <w:rsid w:val="00380BDC"/>
    <w:rsid w:val="003D55B9"/>
    <w:rsid w:val="00406AA7"/>
    <w:rsid w:val="00422C3A"/>
    <w:rsid w:val="004C692D"/>
    <w:rsid w:val="00536300"/>
    <w:rsid w:val="00550320"/>
    <w:rsid w:val="005552C1"/>
    <w:rsid w:val="005A7E0F"/>
    <w:rsid w:val="00632201"/>
    <w:rsid w:val="006E1A3F"/>
    <w:rsid w:val="007E0E3A"/>
    <w:rsid w:val="00872388"/>
    <w:rsid w:val="008B01C7"/>
    <w:rsid w:val="008D1967"/>
    <w:rsid w:val="008D3C5D"/>
    <w:rsid w:val="008E5A3C"/>
    <w:rsid w:val="00983FC9"/>
    <w:rsid w:val="009A4F1A"/>
    <w:rsid w:val="009B3E23"/>
    <w:rsid w:val="00A241E1"/>
    <w:rsid w:val="00AC0D2F"/>
    <w:rsid w:val="00B151E1"/>
    <w:rsid w:val="00B502DC"/>
    <w:rsid w:val="00BE5998"/>
    <w:rsid w:val="00C403C8"/>
    <w:rsid w:val="00C5040F"/>
    <w:rsid w:val="00C54F93"/>
    <w:rsid w:val="00C73607"/>
    <w:rsid w:val="00CC57A3"/>
    <w:rsid w:val="00D10C67"/>
    <w:rsid w:val="00DD28BA"/>
    <w:rsid w:val="00E449C5"/>
    <w:rsid w:val="00E669D3"/>
    <w:rsid w:val="00F4506E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8770A"/>
  <w15:docId w15:val="{3F8951D2-766E-4DD8-8624-01AD542D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568"/>
  </w:style>
  <w:style w:type="paragraph" w:styleId="Ttulo1">
    <w:name w:val="heading 1"/>
    <w:basedOn w:val="Normal"/>
    <w:next w:val="Normal"/>
    <w:link w:val="Ttulo1Car"/>
    <w:qFormat/>
    <w:rsid w:val="00092568"/>
    <w:pPr>
      <w:keepNext/>
      <w:keepLines/>
      <w:numPr>
        <w:numId w:val="1"/>
      </w:numPr>
      <w:spacing w:before="240" w:after="0"/>
      <w:outlineLvl w:val="0"/>
    </w:pPr>
    <w:rPr>
      <w:rFonts w:ascii="Tahoma" w:eastAsiaTheme="majorEastAsia" w:hAnsi="Tahoma" w:cstheme="majorBidi"/>
      <w:b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92568"/>
    <w:pPr>
      <w:keepNext/>
      <w:keepLines/>
      <w:numPr>
        <w:ilvl w:val="1"/>
        <w:numId w:val="1"/>
      </w:numPr>
      <w:spacing w:after="0"/>
      <w:outlineLvl w:val="1"/>
    </w:pPr>
    <w:rPr>
      <w:rFonts w:ascii="Tahoma" w:eastAsiaTheme="majorEastAsia" w:hAnsi="Tahoma" w:cstheme="majorBidi"/>
      <w:b/>
      <w:i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92568"/>
    <w:pPr>
      <w:keepNext/>
      <w:keepLines/>
      <w:numPr>
        <w:ilvl w:val="2"/>
        <w:numId w:val="1"/>
      </w:numPr>
      <w:spacing w:before="40" w:after="0"/>
      <w:outlineLvl w:val="2"/>
    </w:pPr>
    <w:rPr>
      <w:rFonts w:ascii="Tahoma" w:eastAsiaTheme="majorEastAsia" w:hAnsi="Tahoma" w:cstheme="majorBidi"/>
      <w:i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09256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09256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256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09256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09256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qFormat/>
    <w:rsid w:val="0009256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2568"/>
    <w:rPr>
      <w:rFonts w:ascii="Tahoma" w:eastAsiaTheme="majorEastAsia" w:hAnsi="Tahoma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rsid w:val="00092568"/>
    <w:rPr>
      <w:rFonts w:ascii="Tahoma" w:eastAsiaTheme="majorEastAsia" w:hAnsi="Tahoma" w:cstheme="majorBidi"/>
      <w:b/>
      <w:i/>
      <w:szCs w:val="26"/>
    </w:rPr>
  </w:style>
  <w:style w:type="character" w:customStyle="1" w:styleId="Ttulo3Car">
    <w:name w:val="Título 3 Car"/>
    <w:basedOn w:val="Fuentedeprrafopredeter"/>
    <w:link w:val="Ttulo3"/>
    <w:rsid w:val="00092568"/>
    <w:rPr>
      <w:rFonts w:ascii="Tahoma" w:eastAsiaTheme="majorEastAsia" w:hAnsi="Tahoma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rsid w:val="000925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rsid w:val="000925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rsid w:val="000925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rsid w:val="000925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rsid w:val="000925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rsid w:val="000925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semiHidden/>
    <w:unhideWhenUsed/>
    <w:rsid w:val="00092568"/>
    <w:rPr>
      <w:color w:val="0000FF"/>
      <w:u w:val="single"/>
    </w:rPr>
  </w:style>
  <w:style w:type="paragraph" w:customStyle="1" w:styleId="WEDC-Authorsandcountry">
    <w:name w:val="WEDC - Author/s and country"/>
    <w:rsid w:val="00092568"/>
    <w:pPr>
      <w:spacing w:before="15" w:after="15" w:line="240" w:lineRule="atLeast"/>
      <w:jc w:val="center"/>
    </w:pPr>
    <w:rPr>
      <w:rFonts w:ascii="Times New Roman" w:eastAsia="Times New Roman" w:hAnsi="Times New Roman" w:cs="Times New Roman"/>
      <w:bCs/>
      <w:i/>
      <w:color w:val="000000"/>
      <w:sz w:val="24"/>
      <w:szCs w:val="24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5552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2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2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2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2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Orjuela Vasquez</dc:creator>
  <cp:lastModifiedBy>Monica Orjuela Vasquez</cp:lastModifiedBy>
  <cp:revision>2</cp:revision>
  <dcterms:created xsi:type="dcterms:W3CDTF">2016-04-15T15:35:00Z</dcterms:created>
  <dcterms:modified xsi:type="dcterms:W3CDTF">2016-04-15T15:35:00Z</dcterms:modified>
</cp:coreProperties>
</file>