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519" w:rsidRDefault="00F15519" w:rsidP="00F15519">
      <w:pPr>
        <w:widowControl w:val="0"/>
        <w:autoSpaceDE w:val="0"/>
        <w:autoSpaceDN w:val="0"/>
        <w:adjustRightInd w:val="0"/>
        <w:spacing w:line="360" w:lineRule="auto"/>
        <w:outlineLvl w:val="0"/>
        <w:rPr>
          <w:rFonts w:ascii="Times New Roman" w:eastAsia="Times New Roman" w:hAnsi="Times New Roman"/>
          <w:b/>
          <w:sz w:val="24"/>
          <w:szCs w:val="24"/>
        </w:rPr>
      </w:pPr>
      <w:r w:rsidRPr="00F02C1E">
        <w:rPr>
          <w:rFonts w:ascii="Times New Roman" w:eastAsia="Times New Roman" w:hAnsi="Times New Roman"/>
          <w:b/>
          <w:sz w:val="24"/>
          <w:szCs w:val="24"/>
        </w:rPr>
        <w:t>Abstract</w:t>
      </w:r>
    </w:p>
    <w:p w:rsidR="008819D7" w:rsidRDefault="00F15519" w:rsidP="00F15519">
      <w:pPr>
        <w:widowControl w:val="0"/>
        <w:autoSpaceDE w:val="0"/>
        <w:autoSpaceDN w:val="0"/>
        <w:adjustRightInd w:val="0"/>
        <w:spacing w:before="240" w:line="360" w:lineRule="auto"/>
        <w:jc w:val="both"/>
        <w:outlineLvl w:val="0"/>
        <w:rPr>
          <w:rFonts w:ascii="Times New Roman" w:eastAsia="Times New Roman" w:hAnsi="Times New Roman"/>
          <w:sz w:val="24"/>
          <w:szCs w:val="24"/>
        </w:rPr>
      </w:pPr>
      <w:r w:rsidRPr="001633CC">
        <w:rPr>
          <w:rFonts w:ascii="Times New Roman" w:eastAsia="Times New Roman" w:hAnsi="Times New Roman"/>
          <w:sz w:val="24"/>
          <w:szCs w:val="24"/>
        </w:rPr>
        <w:t xml:space="preserve">There has been increasing interest in the contribution of Non-Timber Forest Products (NTFPs) livelihood strategies to rural development and poverty alleviation in recent years. However, community dependence on forest resources for diverse use has high implications for long term management of forests. </w:t>
      </w:r>
      <w:r w:rsidR="008819D7" w:rsidRPr="00895D37">
        <w:rPr>
          <w:rFonts w:ascii="Times New Roman" w:hAnsi="Times New Roman"/>
          <w:sz w:val="24"/>
          <w:szCs w:val="24"/>
        </w:rPr>
        <w:t xml:space="preserve">Due to the increasing population sizes of South African rural communities, both the demand for NTFPs and the pressure for agricultural land are likely to increase, therefore, NTFPs are prone to overexploitation. </w:t>
      </w:r>
      <w:r w:rsidRPr="001633CC">
        <w:rPr>
          <w:rFonts w:ascii="Times New Roman" w:eastAsia="Times New Roman" w:hAnsi="Times New Roman"/>
          <w:sz w:val="24"/>
          <w:szCs w:val="24"/>
        </w:rPr>
        <w:t>Sustainable harvesting of NTFPs is considered best feasible strategy for forest conservation in biodiversity rich areas.</w:t>
      </w:r>
    </w:p>
    <w:p w:rsidR="00A13A71" w:rsidRDefault="00F15519" w:rsidP="00A13A71">
      <w:pPr>
        <w:widowControl w:val="0"/>
        <w:autoSpaceDE w:val="0"/>
        <w:autoSpaceDN w:val="0"/>
        <w:adjustRightInd w:val="0"/>
        <w:spacing w:before="240" w:line="360" w:lineRule="auto"/>
        <w:jc w:val="both"/>
        <w:outlineLvl w:val="0"/>
        <w:rPr>
          <w:rFonts w:ascii="Times New Roman" w:hAnsi="Times New Roman"/>
          <w:sz w:val="24"/>
          <w:szCs w:val="24"/>
        </w:rPr>
      </w:pPr>
      <w:r w:rsidRPr="001633CC">
        <w:rPr>
          <w:rFonts w:ascii="Times New Roman" w:eastAsia="Times New Roman" w:hAnsi="Times New Roman"/>
          <w:sz w:val="24"/>
          <w:szCs w:val="24"/>
        </w:rPr>
        <w:t xml:space="preserve">This paper examines the factors that influence rural households’ decision to go into the </w:t>
      </w:r>
      <w:r w:rsidRPr="001633CC">
        <w:rPr>
          <w:rFonts w:ascii="Times New Roman" w:hAnsi="Times New Roman" w:cs="Times New Roman"/>
          <w:sz w:val="24"/>
          <w:szCs w:val="24"/>
        </w:rPr>
        <w:t xml:space="preserve">forest to collect mopane worms and the actual quantities that the household who decides to collect mopane worms subsequently obtained from the forest. </w:t>
      </w:r>
      <w:r w:rsidR="008819D7">
        <w:rPr>
          <w:rFonts w:ascii="Times New Roman" w:hAnsi="Times New Roman" w:cs="Times New Roman"/>
          <w:sz w:val="24"/>
          <w:szCs w:val="24"/>
        </w:rPr>
        <w:t>Using</w:t>
      </w:r>
      <w:r w:rsidRPr="001633CC">
        <w:rPr>
          <w:rFonts w:ascii="Times New Roman" w:hAnsi="Times New Roman" w:cs="Times New Roman"/>
          <w:sz w:val="24"/>
          <w:szCs w:val="24"/>
        </w:rPr>
        <w:t xml:space="preserve"> a cross sectional dataset collected from a survey of 120 households </w:t>
      </w:r>
      <w:r w:rsidRPr="001633CC">
        <w:rPr>
          <w:rFonts w:ascii="Times New Roman" w:eastAsia="Times New Roman" w:hAnsi="Times New Roman"/>
          <w:sz w:val="24"/>
          <w:szCs w:val="24"/>
        </w:rPr>
        <w:t>in Limpopo province, S</w:t>
      </w:r>
      <w:r w:rsidR="00A13A71">
        <w:rPr>
          <w:rFonts w:ascii="Times New Roman" w:eastAsia="Times New Roman" w:hAnsi="Times New Roman"/>
          <w:sz w:val="24"/>
          <w:szCs w:val="24"/>
        </w:rPr>
        <w:t>outh Africa. Empirical result</w:t>
      </w:r>
      <w:r w:rsidR="008819D7">
        <w:rPr>
          <w:rFonts w:ascii="Times New Roman" w:eastAsia="Times New Roman" w:hAnsi="Times New Roman"/>
          <w:sz w:val="24"/>
          <w:szCs w:val="24"/>
        </w:rPr>
        <w:t xml:space="preserve"> </w:t>
      </w:r>
      <w:r w:rsidR="00A13A71">
        <w:rPr>
          <w:rFonts w:ascii="Times New Roman" w:eastAsia="Times New Roman" w:hAnsi="Times New Roman"/>
          <w:sz w:val="24"/>
          <w:szCs w:val="24"/>
        </w:rPr>
        <w:t xml:space="preserve">of </w:t>
      </w:r>
      <w:r w:rsidR="00A13A71" w:rsidRPr="001633CC">
        <w:rPr>
          <w:rFonts w:ascii="Times New Roman" w:eastAsia="Times New Roman" w:hAnsi="Times New Roman"/>
          <w:sz w:val="24"/>
          <w:szCs w:val="24"/>
        </w:rPr>
        <w:t>the</w:t>
      </w:r>
      <w:r w:rsidRPr="001633CC">
        <w:rPr>
          <w:rFonts w:ascii="Times New Roman" w:eastAsia="Times New Roman" w:hAnsi="Times New Roman"/>
          <w:sz w:val="24"/>
          <w:szCs w:val="24"/>
        </w:rPr>
        <w:t xml:space="preserve"> Double Hurdle Model indicated that age, gender, education, household size,</w:t>
      </w:r>
      <w:r w:rsidR="00A13A71" w:rsidRPr="00A13A71">
        <w:rPr>
          <w:rFonts w:ascii="Times New Roman" w:eastAsia="Times New Roman" w:hAnsi="Times New Roman"/>
          <w:sz w:val="24"/>
          <w:szCs w:val="24"/>
        </w:rPr>
        <w:t xml:space="preserve"> </w:t>
      </w:r>
      <w:r w:rsidR="00A13A71" w:rsidRPr="001633CC">
        <w:rPr>
          <w:rFonts w:ascii="Times New Roman" w:eastAsia="Times New Roman" w:hAnsi="Times New Roman"/>
          <w:sz w:val="24"/>
          <w:szCs w:val="24"/>
        </w:rPr>
        <w:t>experience, skill</w:t>
      </w:r>
      <w:r w:rsidR="00B41470" w:rsidRPr="001633CC">
        <w:rPr>
          <w:rFonts w:ascii="Times New Roman" w:eastAsia="Times New Roman" w:hAnsi="Times New Roman"/>
          <w:sz w:val="24"/>
          <w:szCs w:val="24"/>
        </w:rPr>
        <w:t>, livestock</w:t>
      </w:r>
      <w:r w:rsidRPr="001633CC">
        <w:rPr>
          <w:rFonts w:ascii="Times New Roman" w:eastAsia="Times New Roman" w:hAnsi="Times New Roman"/>
          <w:sz w:val="24"/>
          <w:szCs w:val="24"/>
        </w:rPr>
        <w:t xml:space="preserve"> ownership, price, </w:t>
      </w:r>
      <w:r w:rsidR="00A13A71" w:rsidRPr="001633CC">
        <w:rPr>
          <w:rFonts w:ascii="Times New Roman" w:eastAsia="Times New Roman" w:hAnsi="Times New Roman"/>
          <w:sz w:val="24"/>
          <w:szCs w:val="24"/>
        </w:rPr>
        <w:t xml:space="preserve">ineffective local institution/law, </w:t>
      </w:r>
      <w:r w:rsidR="00A13A71">
        <w:rPr>
          <w:rFonts w:ascii="Times New Roman" w:eastAsia="Times New Roman" w:hAnsi="Times New Roman"/>
          <w:sz w:val="24"/>
          <w:szCs w:val="24"/>
        </w:rPr>
        <w:t>social capital,</w:t>
      </w:r>
      <w:r w:rsidRPr="001633CC">
        <w:rPr>
          <w:rFonts w:ascii="Times New Roman" w:eastAsia="Times New Roman" w:hAnsi="Times New Roman"/>
          <w:sz w:val="24"/>
          <w:szCs w:val="24"/>
        </w:rPr>
        <w:t xml:space="preserve"> insecurity</w:t>
      </w:r>
      <w:r w:rsidR="00A13A71" w:rsidRPr="00A13A71">
        <w:rPr>
          <w:rFonts w:ascii="Times New Roman" w:eastAsia="Times New Roman" w:hAnsi="Times New Roman"/>
          <w:sz w:val="24"/>
          <w:szCs w:val="24"/>
        </w:rPr>
        <w:t xml:space="preserve"> </w:t>
      </w:r>
      <w:r w:rsidR="00A13A71" w:rsidRPr="001633CC">
        <w:rPr>
          <w:rFonts w:ascii="Times New Roman" w:eastAsia="Times New Roman" w:hAnsi="Times New Roman"/>
          <w:sz w:val="24"/>
          <w:szCs w:val="24"/>
        </w:rPr>
        <w:t>and distance</w:t>
      </w:r>
      <w:r w:rsidR="00A13A71">
        <w:rPr>
          <w:rFonts w:ascii="Times New Roman" w:eastAsia="Times New Roman" w:hAnsi="Times New Roman"/>
          <w:sz w:val="24"/>
          <w:szCs w:val="24"/>
        </w:rPr>
        <w:t xml:space="preserve"> are</w:t>
      </w:r>
      <w:r w:rsidR="00A13A71" w:rsidRPr="00A13A71">
        <w:rPr>
          <w:rFonts w:ascii="Times New Roman" w:eastAsia="Times New Roman" w:hAnsi="Times New Roman"/>
          <w:sz w:val="24"/>
          <w:szCs w:val="24"/>
        </w:rPr>
        <w:t xml:space="preserve"> </w:t>
      </w:r>
      <w:r w:rsidR="00A13A71" w:rsidRPr="001633CC">
        <w:rPr>
          <w:rFonts w:ascii="Times New Roman" w:eastAsia="Times New Roman" w:hAnsi="Times New Roman"/>
          <w:sz w:val="24"/>
          <w:szCs w:val="24"/>
        </w:rPr>
        <w:t>statistically significant factors influencing</w:t>
      </w:r>
      <w:r w:rsidRPr="001633CC">
        <w:rPr>
          <w:rFonts w:ascii="Times New Roman" w:eastAsia="Times New Roman" w:hAnsi="Times New Roman"/>
          <w:sz w:val="24"/>
          <w:szCs w:val="24"/>
        </w:rPr>
        <w:t xml:space="preserve"> households’ decision-making to collect mopane worm</w:t>
      </w:r>
      <w:r w:rsidR="00A13A71">
        <w:rPr>
          <w:rFonts w:ascii="Times New Roman" w:eastAsia="Times New Roman" w:hAnsi="Times New Roman"/>
          <w:sz w:val="24"/>
          <w:szCs w:val="24"/>
        </w:rPr>
        <w:t xml:space="preserve"> as well as the</w:t>
      </w:r>
      <w:r w:rsidR="00B41470">
        <w:rPr>
          <w:rFonts w:ascii="Times New Roman" w:eastAsia="Times New Roman" w:hAnsi="Times New Roman"/>
          <w:sz w:val="24"/>
          <w:szCs w:val="24"/>
        </w:rPr>
        <w:t xml:space="preserve"> quantity </w:t>
      </w:r>
      <w:r w:rsidRPr="001633CC">
        <w:rPr>
          <w:rFonts w:ascii="Times New Roman" w:eastAsia="Times New Roman" w:hAnsi="Times New Roman"/>
          <w:sz w:val="24"/>
          <w:szCs w:val="24"/>
        </w:rPr>
        <w:t>collect</w:t>
      </w:r>
      <w:r w:rsidR="00B41470">
        <w:rPr>
          <w:rFonts w:ascii="Times New Roman" w:eastAsia="Times New Roman" w:hAnsi="Times New Roman"/>
          <w:sz w:val="24"/>
          <w:szCs w:val="24"/>
        </w:rPr>
        <w:t>ed</w:t>
      </w:r>
      <w:r w:rsidRPr="001633CC">
        <w:rPr>
          <w:rFonts w:ascii="Times New Roman" w:eastAsia="Times New Roman" w:hAnsi="Times New Roman"/>
          <w:sz w:val="24"/>
          <w:szCs w:val="24"/>
        </w:rPr>
        <w:t xml:space="preserve">. </w:t>
      </w:r>
      <w:r w:rsidR="008819D7">
        <w:rPr>
          <w:rFonts w:ascii="Times New Roman" w:eastAsia="Times New Roman" w:hAnsi="Times New Roman"/>
          <w:sz w:val="24"/>
          <w:szCs w:val="24"/>
        </w:rPr>
        <w:t>This indicates that high dependency and demand for mopane worms are influence by</w:t>
      </w:r>
      <w:r w:rsidR="008819D7" w:rsidRPr="00895D37">
        <w:rPr>
          <w:rFonts w:ascii="Times New Roman" w:hAnsi="Times New Roman"/>
          <w:sz w:val="24"/>
          <w:szCs w:val="24"/>
        </w:rPr>
        <w:t xml:space="preserve"> households’ demographic and socio-economic </w:t>
      </w:r>
      <w:r w:rsidR="008819D7">
        <w:rPr>
          <w:rFonts w:ascii="Times New Roman" w:hAnsi="Times New Roman"/>
          <w:sz w:val="24"/>
          <w:szCs w:val="24"/>
        </w:rPr>
        <w:t xml:space="preserve">conditions. </w:t>
      </w:r>
    </w:p>
    <w:p w:rsidR="00A13A71" w:rsidRPr="00A13A71" w:rsidRDefault="008819D7" w:rsidP="00A13A71">
      <w:pPr>
        <w:widowControl w:val="0"/>
        <w:autoSpaceDE w:val="0"/>
        <w:autoSpaceDN w:val="0"/>
        <w:adjustRightInd w:val="0"/>
        <w:spacing w:before="240" w:line="360" w:lineRule="auto"/>
        <w:jc w:val="both"/>
        <w:outlineLvl w:val="0"/>
        <w:rPr>
          <w:rFonts w:ascii="Times New Roman" w:eastAsia="Times New Roman" w:hAnsi="Times New Roman"/>
          <w:sz w:val="24"/>
          <w:szCs w:val="24"/>
        </w:rPr>
      </w:pPr>
      <w:r>
        <w:rPr>
          <w:rFonts w:ascii="Times New Roman" w:hAnsi="Times New Roman"/>
          <w:sz w:val="24"/>
          <w:szCs w:val="24"/>
        </w:rPr>
        <w:t xml:space="preserve">Therefore, there is </w:t>
      </w:r>
      <w:r w:rsidRPr="00895D37">
        <w:rPr>
          <w:rFonts w:ascii="Times New Roman" w:eastAsia="Times New Roman" w:hAnsi="Times New Roman"/>
          <w:sz w:val="24"/>
          <w:szCs w:val="24"/>
        </w:rPr>
        <w:t>need for adaptive local management systems that enhance ecological knowledge of users and regulates market structure to favour long-term livelihood securities of these forest-fringe rural people.</w:t>
      </w:r>
      <w:r w:rsidRPr="008819D7">
        <w:rPr>
          <w:rFonts w:ascii="Times New Roman" w:eastAsia="Times New Roman" w:hAnsi="Times New Roman"/>
          <w:sz w:val="24"/>
          <w:szCs w:val="24"/>
        </w:rPr>
        <w:t xml:space="preserve"> </w:t>
      </w:r>
      <w:r w:rsidR="00B41470">
        <w:rPr>
          <w:rFonts w:ascii="Times New Roman" w:eastAsia="Times New Roman" w:hAnsi="Times New Roman"/>
          <w:sz w:val="24"/>
          <w:szCs w:val="24"/>
        </w:rPr>
        <w:t>U</w:t>
      </w:r>
      <w:r w:rsidRPr="00895D37">
        <w:rPr>
          <w:rFonts w:ascii="Times New Roman" w:eastAsia="Times New Roman" w:hAnsi="Times New Roman"/>
          <w:sz w:val="24"/>
          <w:szCs w:val="24"/>
        </w:rPr>
        <w:t>ndertaking initiatives that provide alternative source of income or parallel support to other type of income generating opportunities would reduce pressure on the forest resources and increase the income of rural people living in close proximity to the forest.</w:t>
      </w:r>
      <w:r w:rsidRPr="00895D37">
        <w:rPr>
          <w:rFonts w:ascii="Times New Roman" w:hAnsi="Times New Roman"/>
          <w:sz w:val="24"/>
          <w:szCs w:val="24"/>
        </w:rPr>
        <w:t xml:space="preserve"> </w:t>
      </w:r>
      <w:r w:rsidRPr="00A13A71">
        <w:rPr>
          <w:rFonts w:ascii="Times New Roman" w:hAnsi="Times New Roman" w:cs="Times New Roman"/>
          <w:sz w:val="24"/>
        </w:rPr>
        <w:t>The need for government and private stakeholder intervention in providing a more profitable livelihood strategies especially for women cannot be overemphasised, for example, increasing the efficiency of crop production system in order to avoid lean times driving people to</w:t>
      </w:r>
      <w:r w:rsidR="00A13A71">
        <w:rPr>
          <w:rFonts w:ascii="Times New Roman" w:hAnsi="Times New Roman" w:cs="Times New Roman"/>
          <w:sz w:val="24"/>
        </w:rPr>
        <w:t xml:space="preserve"> overexploit forest resources. </w:t>
      </w:r>
      <w:r w:rsidR="00A13A71">
        <w:rPr>
          <w:rFonts w:ascii="Times New Roman" w:hAnsi="Times New Roman"/>
          <w:sz w:val="24"/>
          <w:szCs w:val="24"/>
          <w:lang w:val="en-GB"/>
        </w:rPr>
        <w:t>Establishing an informal or formal collectors’ cooperatives with the expectation that shared decisions made by members of similar interest</w:t>
      </w:r>
      <w:r w:rsidR="00452BCC">
        <w:rPr>
          <w:rFonts w:ascii="Times New Roman" w:hAnsi="Times New Roman"/>
          <w:sz w:val="24"/>
          <w:szCs w:val="24"/>
          <w:lang w:val="en-GB"/>
        </w:rPr>
        <w:t xml:space="preserve"> can improve the groups’ control of collection</w:t>
      </w:r>
      <w:r w:rsidR="00A13A71">
        <w:rPr>
          <w:rFonts w:ascii="Times New Roman" w:hAnsi="Times New Roman"/>
          <w:sz w:val="24"/>
          <w:szCs w:val="24"/>
          <w:lang w:val="en-GB"/>
        </w:rPr>
        <w:t xml:space="preserve"> and simultaneously advance resource management and forest conservation.</w:t>
      </w:r>
    </w:p>
    <w:p w:rsidR="008819D7" w:rsidRPr="00A13A71" w:rsidRDefault="008819D7" w:rsidP="008819D7">
      <w:pPr>
        <w:spacing w:before="240" w:after="0" w:line="360" w:lineRule="auto"/>
        <w:jc w:val="both"/>
        <w:rPr>
          <w:rFonts w:ascii="Times New Roman" w:hAnsi="Times New Roman" w:cs="Times New Roman"/>
          <w:sz w:val="24"/>
        </w:rPr>
      </w:pPr>
      <w:bookmarkStart w:id="0" w:name="_GoBack"/>
      <w:bookmarkEnd w:id="0"/>
    </w:p>
    <w:p w:rsidR="00F15519" w:rsidRPr="001633CC" w:rsidRDefault="00F15519" w:rsidP="008819D7">
      <w:pPr>
        <w:spacing w:before="240" w:after="0" w:line="360" w:lineRule="auto"/>
        <w:jc w:val="both"/>
        <w:rPr>
          <w:rFonts w:ascii="Times New Roman" w:eastAsia="Times New Roman" w:hAnsi="Times New Roman"/>
          <w:sz w:val="24"/>
          <w:szCs w:val="24"/>
        </w:rPr>
      </w:pPr>
      <w:r w:rsidRPr="001633CC">
        <w:rPr>
          <w:rFonts w:ascii="Times New Roman" w:eastAsia="Times New Roman" w:hAnsi="Times New Roman"/>
          <w:b/>
          <w:sz w:val="24"/>
          <w:szCs w:val="24"/>
        </w:rPr>
        <w:lastRenderedPageBreak/>
        <w:t>Keywords:</w:t>
      </w:r>
      <w:r w:rsidRPr="001633CC">
        <w:rPr>
          <w:rFonts w:ascii="Times New Roman" w:eastAsia="Times New Roman" w:hAnsi="Times New Roman"/>
          <w:sz w:val="24"/>
          <w:szCs w:val="24"/>
        </w:rPr>
        <w:t xml:space="preserve">  NTFPs, mopane worm, collection, livelihood, conservation, Double Hurdle, South Africa</w:t>
      </w:r>
    </w:p>
    <w:p w:rsidR="00CF05B3" w:rsidRDefault="00CF05B3"/>
    <w:sectPr w:rsidR="00CF05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19"/>
    <w:rsid w:val="00452BCC"/>
    <w:rsid w:val="008819D7"/>
    <w:rsid w:val="00A13A71"/>
    <w:rsid w:val="00B41470"/>
    <w:rsid w:val="00CF05B3"/>
    <w:rsid w:val="00F1551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77B11-AE02-4891-A9FF-9C5C8022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Baiyegunhi</dc:creator>
  <cp:keywords/>
  <dc:description/>
  <cp:lastModifiedBy>Lloyd Baiyegunhi</cp:lastModifiedBy>
  <cp:revision>4</cp:revision>
  <dcterms:created xsi:type="dcterms:W3CDTF">2016-03-03T11:26:00Z</dcterms:created>
  <dcterms:modified xsi:type="dcterms:W3CDTF">2016-03-17T08:14:00Z</dcterms:modified>
</cp:coreProperties>
</file>