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D45E4" w14:textId="77777777" w:rsidR="00644A20" w:rsidRDefault="00C472D9">
      <w:pPr>
        <w:rPr>
          <w:b/>
        </w:rPr>
      </w:pPr>
      <w:r>
        <w:rPr>
          <w:b/>
        </w:rPr>
        <w:t>Integrating untapped resources from cooking and sanitation into farm-scale nutrient management: a system analysis combining material flow analysis and soil nutrient balancing for farming households in Karagwe, Tanzania</w:t>
      </w:r>
    </w:p>
    <w:p w14:paraId="2CEF1272" w14:textId="77777777" w:rsidR="00644A20" w:rsidRDefault="00644A20">
      <w:pPr>
        <w:rPr>
          <w:b/>
        </w:rPr>
      </w:pPr>
    </w:p>
    <w:p w14:paraId="6AA3785A" w14:textId="77777777" w:rsidR="00644A20" w:rsidRDefault="00C472D9">
      <w:pPr>
        <w:rPr>
          <w:vertAlign w:val="superscript"/>
        </w:rPr>
      </w:pPr>
      <w:r>
        <w:t>A. Krause</w:t>
      </w:r>
      <w:r>
        <w:rPr>
          <w:vertAlign w:val="superscript"/>
        </w:rPr>
        <w:t>1, 2</w:t>
      </w:r>
      <w:bookmarkStart w:id="0" w:name="_GoBack"/>
      <w:bookmarkEnd w:id="0"/>
    </w:p>
    <w:p w14:paraId="1C4D05D7" w14:textId="77777777" w:rsidR="00644A20" w:rsidRDefault="00C472D9">
      <w:pPr>
        <w:rPr>
          <w:sz w:val="18"/>
          <w:szCs w:val="18"/>
        </w:rPr>
      </w:pPr>
      <w:r>
        <w:rPr>
          <w:sz w:val="18"/>
          <w:szCs w:val="18"/>
        </w:rPr>
        <w:t>[1]{Postgraduate program „</w:t>
      </w:r>
      <w:proofErr w:type="spellStart"/>
      <w:r>
        <w:rPr>
          <w:sz w:val="18"/>
          <w:szCs w:val="18"/>
        </w:rPr>
        <w:t>Microenergy</w:t>
      </w:r>
      <w:proofErr w:type="spellEnd"/>
      <w:r>
        <w:rPr>
          <w:sz w:val="18"/>
          <w:szCs w:val="18"/>
        </w:rPr>
        <w:t xml:space="preserve"> Systems“, </w:t>
      </w:r>
      <w:proofErr w:type="spellStart"/>
      <w:r>
        <w:rPr>
          <w:sz w:val="18"/>
          <w:szCs w:val="18"/>
        </w:rPr>
        <w:t>Center</w:t>
      </w:r>
      <w:proofErr w:type="spellEnd"/>
      <w:r>
        <w:rPr>
          <w:sz w:val="18"/>
          <w:szCs w:val="18"/>
        </w:rPr>
        <w:t xml:space="preserve"> for Technology &amp; Society, </w:t>
      </w:r>
      <w:proofErr w:type="spellStart"/>
      <w:r>
        <w:rPr>
          <w:sz w:val="18"/>
          <w:szCs w:val="18"/>
        </w:rPr>
        <w:t>Technische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Universität</w:t>
      </w:r>
      <w:proofErr w:type="spellEnd"/>
      <w:r>
        <w:rPr>
          <w:sz w:val="18"/>
          <w:szCs w:val="18"/>
        </w:rPr>
        <w:t xml:space="preserve"> (TU) Berlin, Germany}</w:t>
      </w:r>
    </w:p>
    <w:p w14:paraId="51E5C738" w14:textId="77777777" w:rsidR="00644A20" w:rsidRDefault="00C472D9">
      <w:pPr>
        <w:rPr>
          <w:sz w:val="18"/>
          <w:szCs w:val="18"/>
        </w:rPr>
      </w:pPr>
      <w:r>
        <w:rPr>
          <w:sz w:val="18"/>
          <w:szCs w:val="18"/>
        </w:rPr>
        <w:t xml:space="preserve">[2]{Leibniz Institute of Vegetable and Ornamental Crops, </w:t>
      </w:r>
      <w:proofErr w:type="spellStart"/>
      <w:r>
        <w:rPr>
          <w:sz w:val="18"/>
          <w:szCs w:val="18"/>
        </w:rPr>
        <w:t>Großbeeren</w:t>
      </w:r>
      <w:proofErr w:type="spellEnd"/>
      <w:r>
        <w:rPr>
          <w:sz w:val="18"/>
          <w:szCs w:val="18"/>
        </w:rPr>
        <w:t>, Germany}</w:t>
      </w:r>
    </w:p>
    <w:p w14:paraId="77189F6F" w14:textId="77777777" w:rsidR="00644A20" w:rsidRDefault="00C472D9">
      <w:r>
        <w:t xml:space="preserve">Correspondence to: </w:t>
      </w:r>
      <w:proofErr w:type="spellStart"/>
      <w:r>
        <w:t>Ariane</w:t>
      </w:r>
      <w:proofErr w:type="spellEnd"/>
      <w:r>
        <w:t xml:space="preserve"> Krause (</w:t>
      </w:r>
      <w:hyperlink r:id="rId5">
        <w:r>
          <w:rPr>
            <w:rStyle w:val="InternetLink"/>
          </w:rPr>
          <w:t>krause@ztg.tu-berlin.de</w:t>
        </w:r>
      </w:hyperlink>
      <w:r>
        <w:t>)</w:t>
      </w:r>
    </w:p>
    <w:p w14:paraId="06A95B57" w14:textId="77777777" w:rsidR="00644A20" w:rsidRDefault="00644A20"/>
    <w:p w14:paraId="2A21CF61" w14:textId="77777777" w:rsidR="00644A20" w:rsidRDefault="00C472D9">
      <w:pPr>
        <w:rPr>
          <w:b/>
          <w:bCs/>
          <w:smallCaps/>
        </w:rPr>
      </w:pPr>
      <w:r>
        <w:rPr>
          <w:b/>
          <w:bCs/>
          <w:smallCaps/>
        </w:rPr>
        <w:t>Abstract</w:t>
      </w:r>
    </w:p>
    <w:p w14:paraId="6E1D8D9C" w14:textId="0A5CFF6F" w:rsidR="00644A20" w:rsidRDefault="00C472D9">
      <w:pPr>
        <w:rPr>
          <w:rFonts w:cs="Cambria"/>
          <w:sz w:val="20"/>
          <w:szCs w:val="20"/>
          <w:lang w:eastAsia="en-US"/>
        </w:rPr>
      </w:pPr>
      <w:r>
        <w:rPr>
          <w:sz w:val="20"/>
          <w:szCs w:val="20"/>
        </w:rPr>
        <w:t>Food is a human right and food production requires access to land and sustainable soil management. To sufficiently replenish nutrients</w:t>
      </w:r>
      <w:r w:rsidR="00C97A31">
        <w:rPr>
          <w:sz w:val="20"/>
          <w:szCs w:val="20"/>
        </w:rPr>
        <w:t xml:space="preserve"> and counteract soil degradation</w:t>
      </w:r>
      <w:r>
        <w:rPr>
          <w:sz w:val="20"/>
          <w:szCs w:val="20"/>
        </w:rPr>
        <w:t xml:space="preserve">, many smallholders in Sub-Saharan Africa lack available </w:t>
      </w:r>
      <w:r w:rsidR="0079597C">
        <w:rPr>
          <w:rFonts w:cs="Cambria"/>
          <w:sz w:val="20"/>
          <w:szCs w:val="20"/>
          <w:lang w:eastAsia="en-US"/>
        </w:rPr>
        <w:t>resources</w:t>
      </w:r>
      <w:r>
        <w:rPr>
          <w:sz w:val="20"/>
          <w:szCs w:val="20"/>
        </w:rPr>
        <w:t>. However, r</w:t>
      </w:r>
      <w:r>
        <w:rPr>
          <w:rFonts w:cs="Cambria"/>
          <w:sz w:val="20"/>
          <w:szCs w:val="20"/>
          <w:lang w:eastAsia="en-US"/>
        </w:rPr>
        <w:t>esidues from bioenergy and ecological sanitation (EcoSan) are locally available for integrated nutrient management (INM).</w:t>
      </w:r>
    </w:p>
    <w:p w14:paraId="7ECE7D8C" w14:textId="5D216FEE" w:rsidR="00644A20" w:rsidRDefault="00C472D9">
      <w:pPr>
        <w:rPr>
          <w:rFonts w:cs="Cambria"/>
          <w:sz w:val="20"/>
          <w:szCs w:val="20"/>
          <w:lang w:eastAsia="en-US"/>
        </w:rPr>
      </w:pPr>
      <w:r>
        <w:rPr>
          <w:rFonts w:cs="Cambria"/>
          <w:sz w:val="20"/>
          <w:szCs w:val="20"/>
          <w:lang w:eastAsia="en-US"/>
        </w:rPr>
        <w:t>Employing a material flow analysis (MFA), we compared local cooking and sanitation technologies and evaluated (</w:t>
      </w:r>
      <w:proofErr w:type="spellStart"/>
      <w:r>
        <w:rPr>
          <w:rFonts w:cs="Cambria"/>
          <w:sz w:val="20"/>
          <w:szCs w:val="20"/>
          <w:lang w:eastAsia="en-US"/>
        </w:rPr>
        <w:t>i</w:t>
      </w:r>
      <w:proofErr w:type="spellEnd"/>
      <w:r>
        <w:rPr>
          <w:rFonts w:cs="Cambria"/>
          <w:sz w:val="20"/>
          <w:szCs w:val="20"/>
          <w:lang w:eastAsia="en-US"/>
        </w:rPr>
        <w:t xml:space="preserve">) the effects on natural resources (atmosphere, aquifers, and forests) and (ii) the availability of by-products, which can be used for INM. Through soil nutrient balancing (SNB), we assessed </w:t>
      </w:r>
      <w:r w:rsidR="00C97A31">
        <w:rPr>
          <w:rFonts w:cs="Cambria"/>
          <w:sz w:val="20"/>
          <w:szCs w:val="20"/>
          <w:lang w:eastAsia="en-US"/>
        </w:rPr>
        <w:t>(</w:t>
      </w:r>
      <w:proofErr w:type="spellStart"/>
      <w:r w:rsidR="00C97A31">
        <w:rPr>
          <w:rFonts w:cs="Cambria"/>
          <w:sz w:val="20"/>
          <w:szCs w:val="20"/>
          <w:lang w:eastAsia="en-US"/>
        </w:rPr>
        <w:t>i</w:t>
      </w:r>
      <w:proofErr w:type="spellEnd"/>
      <w:r w:rsidR="00C97A31">
        <w:rPr>
          <w:rFonts w:cs="Cambria"/>
          <w:sz w:val="20"/>
          <w:szCs w:val="20"/>
          <w:lang w:eastAsia="en-US"/>
        </w:rPr>
        <w:t>) </w:t>
      </w:r>
      <w:r>
        <w:rPr>
          <w:rFonts w:cs="Cambria"/>
          <w:sz w:val="20"/>
          <w:szCs w:val="20"/>
          <w:lang w:eastAsia="en-US"/>
        </w:rPr>
        <w:t xml:space="preserve">the </w:t>
      </w:r>
      <w:r w:rsidR="0079597C" w:rsidRPr="0079597C">
        <w:rPr>
          <w:rFonts w:cs="Cambria"/>
          <w:sz w:val="20"/>
          <w:szCs w:val="20"/>
          <w:lang w:eastAsia="en-US"/>
        </w:rPr>
        <w:t>current</w:t>
      </w:r>
      <w:r>
        <w:rPr>
          <w:rFonts w:cs="Cambria"/>
          <w:sz w:val="20"/>
          <w:szCs w:val="20"/>
          <w:lang w:eastAsia="en-US"/>
        </w:rPr>
        <w:t xml:space="preserve"> soil nutrient </w:t>
      </w:r>
      <w:r w:rsidR="0079597C">
        <w:rPr>
          <w:rFonts w:cs="Cambria"/>
          <w:sz w:val="20"/>
          <w:szCs w:val="20"/>
          <w:lang w:eastAsia="en-US"/>
        </w:rPr>
        <w:t>status</w:t>
      </w:r>
      <w:r>
        <w:rPr>
          <w:rFonts w:cs="Cambria"/>
          <w:sz w:val="20"/>
          <w:szCs w:val="20"/>
          <w:lang w:eastAsia="en-US"/>
        </w:rPr>
        <w:t xml:space="preserve"> and </w:t>
      </w:r>
      <w:r w:rsidR="00C97A31">
        <w:rPr>
          <w:rFonts w:cs="Cambria"/>
          <w:sz w:val="20"/>
          <w:szCs w:val="20"/>
          <w:lang w:eastAsia="en-US"/>
        </w:rPr>
        <w:t>(ii) </w:t>
      </w:r>
      <w:r>
        <w:rPr>
          <w:rFonts w:cs="Cambria"/>
          <w:sz w:val="20"/>
          <w:szCs w:val="20"/>
          <w:lang w:eastAsia="en-US"/>
        </w:rPr>
        <w:t xml:space="preserve">changes that occur when applying biogas slurry, standard compost or CaSa-compost (containing biochar and sanitized excreta) as organic inputs and urine as mineral input. The system analysis refers to a six-member household in Karagwe, Tanzania, and is adapted to local conditions, focusing on an intercropping system of </w:t>
      </w:r>
      <w:r w:rsidR="0079597C">
        <w:rPr>
          <w:rFonts w:cs="Cambria"/>
          <w:sz w:val="20"/>
          <w:szCs w:val="20"/>
          <w:lang w:eastAsia="en-US"/>
        </w:rPr>
        <w:t xml:space="preserve">relevant </w:t>
      </w:r>
      <w:r>
        <w:rPr>
          <w:rFonts w:cs="Cambria"/>
          <w:sz w:val="20"/>
          <w:szCs w:val="20"/>
          <w:lang w:eastAsia="en-US"/>
        </w:rPr>
        <w:t>temporary crops (</w:t>
      </w:r>
      <w:r w:rsidR="00C97A31">
        <w:rPr>
          <w:rFonts w:eastAsiaTheme="minorHAnsi"/>
          <w:sz w:val="20"/>
          <w:szCs w:val="20"/>
          <w:lang w:eastAsia="en-US"/>
        </w:rPr>
        <w:t>i.e. maize, beans, cabbage, and onion</w:t>
      </w:r>
      <w:r>
        <w:rPr>
          <w:rFonts w:cs="Cambria"/>
          <w:sz w:val="20"/>
          <w:szCs w:val="20"/>
          <w:lang w:eastAsia="en-US"/>
        </w:rPr>
        <w:t>).</w:t>
      </w:r>
    </w:p>
    <w:p w14:paraId="52B36902" w14:textId="2768973C" w:rsidR="00644A20" w:rsidRDefault="005A2A25">
      <w:pPr>
        <w:rPr>
          <w:sz w:val="20"/>
          <w:szCs w:val="20"/>
        </w:rPr>
      </w:pPr>
      <w:r>
        <w:rPr>
          <w:sz w:val="20"/>
          <w:szCs w:val="20"/>
        </w:rPr>
        <w:t>Within the energy-</w:t>
      </w:r>
      <w:r w:rsidR="00C472D9">
        <w:rPr>
          <w:sz w:val="20"/>
          <w:szCs w:val="20"/>
        </w:rPr>
        <w:t>system, using improved cooking stoves (ICS) or biogas reduce</w:t>
      </w:r>
      <w:r>
        <w:rPr>
          <w:sz w:val="20"/>
          <w:szCs w:val="20"/>
        </w:rPr>
        <w:t>d</w:t>
      </w:r>
      <w:r w:rsidR="00C472D9">
        <w:rPr>
          <w:sz w:val="20"/>
          <w:szCs w:val="20"/>
        </w:rPr>
        <w:t xml:space="preserve"> the pressure on forest resources; using charcoal </w:t>
      </w:r>
      <w:r>
        <w:rPr>
          <w:sz w:val="20"/>
          <w:szCs w:val="20"/>
        </w:rPr>
        <w:t>did</w:t>
      </w:r>
      <w:r w:rsidR="00C472D9">
        <w:rPr>
          <w:sz w:val="20"/>
          <w:szCs w:val="20"/>
        </w:rPr>
        <w:t xml:space="preserve"> not. Greenhouse gas (GHG) emissions </w:t>
      </w:r>
      <w:r>
        <w:rPr>
          <w:sz w:val="20"/>
          <w:szCs w:val="20"/>
        </w:rPr>
        <w:t>were</w:t>
      </w:r>
      <w:r w:rsidR="00C472D9">
        <w:rPr>
          <w:sz w:val="20"/>
          <w:szCs w:val="20"/>
        </w:rPr>
        <w:t xml:space="preserve"> reduced with ICS, but not with the biogas system, due to biogas leakages and emissions from slurry storage. </w:t>
      </w:r>
    </w:p>
    <w:p w14:paraId="47D04306" w14:textId="0EE44E3C" w:rsidR="00644A20" w:rsidRDefault="005A2A25">
      <w:pPr>
        <w:rPr>
          <w:sz w:val="20"/>
          <w:szCs w:val="20"/>
        </w:rPr>
      </w:pPr>
      <w:r>
        <w:rPr>
          <w:sz w:val="20"/>
          <w:szCs w:val="20"/>
        </w:rPr>
        <w:t>Within the sanitation-</w:t>
      </w:r>
      <w:r w:rsidR="00C472D9">
        <w:rPr>
          <w:sz w:val="20"/>
          <w:szCs w:val="20"/>
        </w:rPr>
        <w:t xml:space="preserve">system, latrine </w:t>
      </w:r>
      <w:r>
        <w:rPr>
          <w:sz w:val="20"/>
          <w:szCs w:val="20"/>
        </w:rPr>
        <w:t>or septic facilities emitted 80-90 % of total N and 70-75 </w:t>
      </w:r>
      <w:r w:rsidR="00C472D9">
        <w:rPr>
          <w:sz w:val="20"/>
          <w:szCs w:val="20"/>
        </w:rPr>
        <w:t>% of P to the ecosystem, which EcoSan-systems avoid</w:t>
      </w:r>
      <w:r>
        <w:rPr>
          <w:sz w:val="20"/>
          <w:szCs w:val="20"/>
        </w:rPr>
        <w:t>ed</w:t>
      </w:r>
      <w:r w:rsidR="00C472D9">
        <w:rPr>
          <w:sz w:val="20"/>
          <w:szCs w:val="20"/>
        </w:rPr>
        <w:t xml:space="preserve">. </w:t>
      </w:r>
      <w:r>
        <w:rPr>
          <w:sz w:val="20"/>
          <w:szCs w:val="20"/>
        </w:rPr>
        <w:t>EcoSan also reduced GHG-emissions</w:t>
      </w:r>
      <w:r w:rsidR="00C472D9">
        <w:rPr>
          <w:sz w:val="20"/>
          <w:szCs w:val="20"/>
        </w:rPr>
        <w:t xml:space="preserve">. Changing from pit latrines to a water-based system would </w:t>
      </w:r>
      <w:r w:rsidR="00C97A31">
        <w:rPr>
          <w:sz w:val="20"/>
          <w:szCs w:val="20"/>
        </w:rPr>
        <w:t xml:space="preserve">highly </w:t>
      </w:r>
      <w:r w:rsidR="00C472D9">
        <w:rPr>
          <w:sz w:val="20"/>
          <w:szCs w:val="20"/>
        </w:rPr>
        <w:t>press scarcely available water r</w:t>
      </w:r>
      <w:r w:rsidR="00C97A31">
        <w:rPr>
          <w:sz w:val="20"/>
          <w:szCs w:val="20"/>
        </w:rPr>
        <w:t>esources in farming households.</w:t>
      </w:r>
    </w:p>
    <w:p w14:paraId="1BA81A18" w14:textId="74DEBB9B" w:rsidR="00644A20" w:rsidRDefault="00C472D9">
      <w:pPr>
        <w:rPr>
          <w:sz w:val="20"/>
          <w:szCs w:val="20"/>
        </w:rPr>
      </w:pPr>
      <w:r>
        <w:rPr>
          <w:sz w:val="20"/>
          <w:szCs w:val="20"/>
        </w:rPr>
        <w:t xml:space="preserve">Results of </w:t>
      </w:r>
      <w:r w:rsidR="0079597C">
        <w:rPr>
          <w:sz w:val="20"/>
          <w:szCs w:val="20"/>
        </w:rPr>
        <w:t xml:space="preserve">the </w:t>
      </w:r>
      <w:r>
        <w:rPr>
          <w:sz w:val="20"/>
          <w:szCs w:val="20"/>
        </w:rPr>
        <w:t>SNB show that</w:t>
      </w:r>
      <w:r w:rsidR="00827E7B">
        <w:rPr>
          <w:sz w:val="20"/>
          <w:szCs w:val="20"/>
        </w:rPr>
        <w:t xml:space="preserve"> currently</w:t>
      </w:r>
      <w:r>
        <w:rPr>
          <w:sz w:val="20"/>
          <w:szCs w:val="20"/>
        </w:rPr>
        <w:t xml:space="preserve">, N and P are </w:t>
      </w:r>
      <w:r w:rsidR="0079597C">
        <w:rPr>
          <w:sz w:val="20"/>
          <w:szCs w:val="20"/>
        </w:rPr>
        <w:t>depleted by -47±9 and -7±3 kg </w:t>
      </w:r>
      <w:r>
        <w:rPr>
          <w:sz w:val="20"/>
          <w:szCs w:val="20"/>
        </w:rPr>
        <w:t>ha</w:t>
      </w:r>
      <w:r>
        <w:rPr>
          <w:sz w:val="20"/>
          <w:szCs w:val="20"/>
          <w:vertAlign w:val="superscript"/>
        </w:rPr>
        <w:t>-1</w:t>
      </w:r>
      <w:r w:rsidR="0079597C">
        <w:rPr>
          <w:sz w:val="20"/>
          <w:szCs w:val="20"/>
          <w:vertAlign w:val="superscript"/>
        </w:rPr>
        <w:t> </w:t>
      </w:r>
      <w:r w:rsidR="0079597C">
        <w:rPr>
          <w:sz w:val="20"/>
          <w:szCs w:val="20"/>
        </w:rPr>
        <w:t>yr</w:t>
      </w:r>
      <w:r w:rsidR="0079597C"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, respectively. </w:t>
      </w:r>
      <w:r w:rsidR="0079597C">
        <w:rPr>
          <w:sz w:val="20"/>
          <w:szCs w:val="20"/>
        </w:rPr>
        <w:t>The</w:t>
      </w:r>
      <w:r w:rsidR="00827E7B">
        <w:rPr>
          <w:sz w:val="20"/>
          <w:szCs w:val="20"/>
        </w:rPr>
        <w:t xml:space="preserve"> </w:t>
      </w:r>
      <w:r w:rsidR="0079597C">
        <w:rPr>
          <w:sz w:val="20"/>
          <w:szCs w:val="20"/>
        </w:rPr>
        <w:t>analysed</w:t>
      </w:r>
      <w:r w:rsidR="00473E9D">
        <w:rPr>
          <w:sz w:val="20"/>
          <w:szCs w:val="20"/>
        </w:rPr>
        <w:t xml:space="preserve"> </w:t>
      </w:r>
      <w:r w:rsidR="00827E7B">
        <w:rPr>
          <w:sz w:val="20"/>
          <w:szCs w:val="20"/>
        </w:rPr>
        <w:t>INM</w:t>
      </w:r>
      <w:r w:rsidR="00473E9D">
        <w:rPr>
          <w:sz w:val="20"/>
          <w:szCs w:val="20"/>
        </w:rPr>
        <w:t>-strategies</w:t>
      </w:r>
      <w:r w:rsidR="00827E7B">
        <w:rPr>
          <w:sz w:val="20"/>
          <w:szCs w:val="20"/>
        </w:rPr>
        <w:t xml:space="preserve"> mitigated depletion of N and reversed </w:t>
      </w:r>
      <w:r w:rsidR="0018402C">
        <w:rPr>
          <w:sz w:val="20"/>
          <w:szCs w:val="20"/>
        </w:rPr>
        <w:t>that</w:t>
      </w:r>
      <w:r w:rsidR="00827E7B">
        <w:rPr>
          <w:sz w:val="20"/>
          <w:szCs w:val="20"/>
        </w:rPr>
        <w:t xml:space="preserve"> of P.</w:t>
      </w:r>
    </w:p>
    <w:p w14:paraId="0FC35EC3" w14:textId="43E163FE" w:rsidR="0018402C" w:rsidRDefault="0018402C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Pr="0018402C">
        <w:rPr>
          <w:sz w:val="20"/>
          <w:szCs w:val="20"/>
        </w:rPr>
        <w:t>e conclude</w:t>
      </w:r>
      <w:r>
        <w:rPr>
          <w:sz w:val="20"/>
          <w:szCs w:val="20"/>
        </w:rPr>
        <w:t>d</w:t>
      </w:r>
      <w:r w:rsidRPr="0018402C">
        <w:rPr>
          <w:sz w:val="20"/>
          <w:szCs w:val="20"/>
        </w:rPr>
        <w:t xml:space="preserve"> that consequent </w:t>
      </w:r>
      <w:r>
        <w:rPr>
          <w:sz w:val="20"/>
          <w:szCs w:val="20"/>
        </w:rPr>
        <w:t xml:space="preserve">recycling </w:t>
      </w:r>
      <w:r w:rsidRPr="0018402C">
        <w:rPr>
          <w:sz w:val="20"/>
          <w:szCs w:val="20"/>
        </w:rPr>
        <w:t xml:space="preserve">of residues from household and farming </w:t>
      </w:r>
      <w:r>
        <w:rPr>
          <w:sz w:val="20"/>
          <w:szCs w:val="20"/>
        </w:rPr>
        <w:t>to agricultural land</w:t>
      </w:r>
      <w:r w:rsidRPr="0018402C">
        <w:rPr>
          <w:sz w:val="20"/>
          <w:szCs w:val="20"/>
        </w:rPr>
        <w:t xml:space="preserve"> is a promising path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 to avoid </w:t>
      </w:r>
      <w:r w:rsidR="0079597C">
        <w:rPr>
          <w:sz w:val="20"/>
          <w:szCs w:val="20"/>
        </w:rPr>
        <w:t>emissions</w:t>
      </w:r>
      <w:r>
        <w:rPr>
          <w:sz w:val="20"/>
          <w:szCs w:val="20"/>
        </w:rPr>
        <w:t xml:space="preserve"> to the environment and (ii) </w:t>
      </w:r>
      <w:r w:rsidRPr="0018402C">
        <w:rPr>
          <w:sz w:val="20"/>
          <w:szCs w:val="20"/>
        </w:rPr>
        <w:t>to leave the vicious circle of insufficient production of food crops and residual matter caused by prevailing P-scarcity.</w:t>
      </w:r>
    </w:p>
    <w:p w14:paraId="1AFDC730" w14:textId="1589BE6E" w:rsidR="00644A20" w:rsidRDefault="0079597C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C472D9">
        <w:rPr>
          <w:sz w:val="20"/>
          <w:szCs w:val="20"/>
        </w:rPr>
        <w:t xml:space="preserve">urther research </w:t>
      </w:r>
      <w:r>
        <w:rPr>
          <w:sz w:val="20"/>
          <w:szCs w:val="20"/>
        </w:rPr>
        <w:t>could regard</w:t>
      </w:r>
      <w:r w:rsidR="00C472D9">
        <w:rPr>
          <w:sz w:val="20"/>
          <w:szCs w:val="20"/>
        </w:rPr>
        <w:t xml:space="preserve"> the different utilization paths of urine and biogas slurry, e.g. direct application versus pre-</w:t>
      </w:r>
      <w:r>
        <w:rPr>
          <w:sz w:val="20"/>
          <w:szCs w:val="20"/>
        </w:rPr>
        <w:t>composting with/without biochar</w:t>
      </w:r>
      <w:r w:rsidR="00C472D9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socio-economic aspects </w:t>
      </w:r>
      <w:r w:rsidR="00C472D9">
        <w:rPr>
          <w:sz w:val="20"/>
          <w:szCs w:val="20"/>
        </w:rPr>
        <w:t>for smallholders.</w:t>
      </w:r>
    </w:p>
    <w:p w14:paraId="14CF4652" w14:textId="77777777" w:rsidR="00644A20" w:rsidRDefault="00644A20"/>
    <w:p w14:paraId="005336E8" w14:textId="77777777" w:rsidR="00473E9D" w:rsidRDefault="00473E9D"/>
    <w:p w14:paraId="6EC96F02" w14:textId="3C6EC39D" w:rsidR="00644A20" w:rsidRPr="00473E9D" w:rsidRDefault="00473E9D">
      <w:pPr>
        <w:rPr>
          <w:sz w:val="20"/>
          <w:szCs w:val="20"/>
        </w:rPr>
      </w:pPr>
      <w:r w:rsidRPr="00473E9D">
        <w:rPr>
          <w:b/>
          <w:sz w:val="20"/>
          <w:szCs w:val="20"/>
        </w:rPr>
        <w:t>Keywords</w:t>
      </w:r>
      <w:r w:rsidRPr="00473E9D">
        <w:rPr>
          <w:sz w:val="20"/>
          <w:szCs w:val="20"/>
        </w:rPr>
        <w:t>: integrated nutrient management, soil nutrient depletion, micro energy systems, biochar, biogas slurry, ecological sanitation, micro perspective, carbon recovery, nutrient recycling, natural resource management, closing open cycles, vegan organic farming</w:t>
      </w:r>
    </w:p>
    <w:sectPr w:rsidR="00644A20" w:rsidRPr="00473E9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4A20"/>
    <w:rsid w:val="0018402C"/>
    <w:rsid w:val="00473E9D"/>
    <w:rsid w:val="005A2A25"/>
    <w:rsid w:val="00644A20"/>
    <w:rsid w:val="0079597C"/>
    <w:rsid w:val="00827E7B"/>
    <w:rsid w:val="00C472D9"/>
    <w:rsid w:val="00C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A7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line="300" w:lineRule="auto"/>
      <w:jc w:val="both"/>
    </w:pPr>
    <w:rPr>
      <w:rFonts w:ascii="Times New Roman" w:eastAsia="Times New Roman" w:hAnsi="Times New Roman" w:cs="Times New Roman"/>
      <w:sz w:val="22"/>
      <w:szCs w:val="22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rause@ztg.tu-berli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2761</Characters>
  <Application>Microsoft Macintosh Word</Application>
  <DocSecurity>0</DocSecurity>
  <Lines>23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ariari misskrausi</dc:creator>
  <cp:lastModifiedBy>ariari misskrausi</cp:lastModifiedBy>
  <cp:revision>6</cp:revision>
  <dcterms:created xsi:type="dcterms:W3CDTF">2016-04-14T07:18:00Z</dcterms:created>
  <dcterms:modified xsi:type="dcterms:W3CDTF">2016-04-15T07:39:00Z</dcterms:modified>
</cp:coreProperties>
</file>