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Times New Roman"/>
          <w:sz w:val="24"/>
          <w:szCs w:val="24"/>
          <w:lang w:val="en-US"/>
        </w:rPr>
        <w:t>„</w:t>
      </w:r>
      <w:r>
        <w:rPr>
          <w:rFonts w:cs="Times New Roman"/>
          <w:sz w:val="24"/>
          <w:szCs w:val="24"/>
          <w:lang w:val="en-US"/>
        </w:rPr>
        <w:t>DEVELOPMENT – ECONOMIC PROSPERITY</w:t>
      </w:r>
    </w:p>
    <w:p>
      <w:pPr>
        <w:pStyle w:val="Normal"/>
        <w:jc w:val="center"/>
        <w:rPr/>
      </w:pPr>
      <w:r>
        <w:rPr>
          <w:rFonts w:cs="Times New Roman"/>
          <w:sz w:val="24"/>
          <w:szCs w:val="24"/>
          <w:lang w:val="en-US"/>
        </w:rPr>
        <w:t>AND</w:t>
      </w:r>
    </w:p>
    <w:p>
      <w:pPr>
        <w:pStyle w:val="Normal"/>
        <w:jc w:val="center"/>
        <w:rPr/>
      </w:pPr>
      <w:r>
        <w:rPr>
          <w:rFonts w:cs="Times New Roman"/>
          <w:sz w:val="24"/>
          <w:szCs w:val="24"/>
          <w:lang w:val="en-US"/>
        </w:rPr>
        <w:t>GOOD GOVERNANCE”</w:t>
      </w:r>
    </w:p>
    <w:p>
      <w:pPr>
        <w:pStyle w:val="Normal"/>
        <w:jc w:val="center"/>
        <w:rPr>
          <w:rFonts w:ascii="Times New Roman" w:hAnsi="Times New Roman" w:cs="Times New Roman"/>
          <w:sz w:val="24"/>
          <w:szCs w:val="24"/>
          <w:lang w:val="en-US"/>
        </w:rPr>
      </w:pPr>
      <w:r>
        <w:rPr/>
      </w:r>
    </w:p>
    <w:p>
      <w:pPr>
        <w:pStyle w:val="Normal"/>
        <w:jc w:val="center"/>
        <w:rPr>
          <w:rFonts w:ascii="Times New Roman" w:hAnsi="Times New Roman" w:cs="Times New Roman"/>
          <w:sz w:val="24"/>
          <w:szCs w:val="24"/>
          <w:lang w:val="en-US"/>
        </w:rPr>
      </w:pPr>
      <w:r>
        <w:rPr/>
      </w:r>
    </w:p>
    <w:p>
      <w:pPr>
        <w:pStyle w:val="Normal"/>
        <w:jc w:val="center"/>
        <w:rPr/>
      </w:pPr>
      <w:r>
        <w:rPr>
          <w:rFonts w:cs="Times New Roman"/>
          <w:sz w:val="24"/>
          <w:szCs w:val="24"/>
          <w:lang w:val="en-US"/>
        </w:rPr>
        <w:t>INTERNATIONAL CONFERENCE</w:t>
      </w:r>
    </w:p>
    <w:p>
      <w:pPr>
        <w:pStyle w:val="Normal"/>
        <w:jc w:val="center"/>
        <w:rPr/>
      </w:pPr>
      <w:r>
        <w:rPr>
          <w:rFonts w:cs="Times New Roman"/>
          <w:sz w:val="24"/>
          <w:szCs w:val="24"/>
          <w:lang w:val="en-US"/>
        </w:rPr>
        <w:t>GAMASSA AND MANSOURA</w:t>
      </w:r>
    </w:p>
    <w:p>
      <w:pPr>
        <w:pStyle w:val="Normal"/>
        <w:jc w:val="center"/>
        <w:rPr>
          <w:rFonts w:ascii="Times New Roman" w:hAnsi="Times New Roman" w:cs="Times New Roman"/>
          <w:sz w:val="24"/>
          <w:szCs w:val="24"/>
          <w:lang w:val="en-US"/>
        </w:rPr>
      </w:pPr>
      <w:r>
        <w:rPr/>
      </w:r>
    </w:p>
    <w:p>
      <w:pPr>
        <w:pStyle w:val="Normal"/>
        <w:jc w:val="center"/>
        <w:rPr/>
      </w:pPr>
      <w:r>
        <w:rPr>
          <w:rFonts w:cs="Times New Roman"/>
          <w:sz w:val="24"/>
          <w:szCs w:val="24"/>
          <w:lang w:val="en-US"/>
        </w:rPr>
        <w:t>7-8 November, 2015</w:t>
      </w:r>
    </w:p>
    <w:p>
      <w:pPr>
        <w:pStyle w:val="Normal"/>
        <w:jc w:val="center"/>
        <w:rPr>
          <w:rFonts w:ascii="Times New Roman" w:hAnsi="Times New Roman" w:cs="Times New Roman"/>
          <w:sz w:val="24"/>
          <w:szCs w:val="24"/>
          <w:lang w:val="en-US"/>
        </w:rPr>
      </w:pPr>
      <w:r>
        <w:rPr>
          <w:rFonts w:cs="Times New Roman"/>
          <w:sz w:val="24"/>
          <w:szCs w:val="24"/>
          <w:lang w:val="en-US"/>
        </w:rPr>
      </w:r>
    </w:p>
    <w:p>
      <w:pPr>
        <w:pStyle w:val="Normal"/>
        <w:jc w:val="center"/>
        <w:rPr>
          <w:rFonts w:ascii="Times New Roman" w:hAnsi="Times New Roman" w:cs="Times New Roman"/>
          <w:sz w:val="24"/>
          <w:szCs w:val="24"/>
          <w:lang w:val="en-US"/>
        </w:rPr>
      </w:pPr>
      <w:r>
        <w:rPr>
          <w:rFonts w:cs="Times New Roman"/>
          <w:sz w:val="24"/>
          <w:szCs w:val="24"/>
          <w:lang w:val="en-US"/>
        </w:rPr>
      </w:r>
    </w:p>
    <w:p>
      <w:pPr>
        <w:pStyle w:val="Normal"/>
        <w:jc w:val="center"/>
        <w:rPr>
          <w:rFonts w:ascii="Times New Roman" w:hAnsi="Times New Roman" w:cs="Times New Roman"/>
          <w:sz w:val="24"/>
          <w:szCs w:val="24"/>
          <w:lang w:val="en-US"/>
        </w:rPr>
      </w:pPr>
      <w:r>
        <w:rPr>
          <w:rFonts w:cs="Times New Roman"/>
          <w:sz w:val="24"/>
          <w:szCs w:val="24"/>
          <w:lang w:val="en-US"/>
        </w:rPr>
      </w:r>
    </w:p>
    <w:p>
      <w:pPr>
        <w:pStyle w:val="Normal"/>
        <w:jc w:val="center"/>
        <w:rPr>
          <w:rFonts w:ascii="Times New Roman" w:hAnsi="Times New Roman" w:cs="Times New Roman"/>
          <w:sz w:val="24"/>
          <w:szCs w:val="24"/>
          <w:lang w:val="en-US"/>
        </w:rPr>
      </w:pPr>
      <w:r>
        <w:rPr>
          <w:rFonts w:cs="Times New Roman"/>
          <w:sz w:val="24"/>
          <w:szCs w:val="24"/>
          <w:lang w:val="en-US"/>
        </w:rPr>
      </w:r>
    </w:p>
    <w:p>
      <w:pPr>
        <w:pStyle w:val="Normal"/>
        <w:jc w:val="center"/>
        <w:rPr>
          <w:rFonts w:ascii="Times New Roman" w:hAnsi="Times New Roman" w:cs="Times New Roman"/>
          <w:sz w:val="24"/>
          <w:szCs w:val="24"/>
          <w:lang w:val="en-US"/>
        </w:rPr>
      </w:pPr>
      <w:r>
        <w:rPr>
          <w:rFonts w:cs="Times New Roman"/>
          <w:sz w:val="24"/>
          <w:szCs w:val="24"/>
          <w:lang w:val="en-US"/>
        </w:rPr>
      </w:r>
    </w:p>
    <w:p>
      <w:pPr>
        <w:pStyle w:val="Normal"/>
        <w:jc w:val="center"/>
        <w:rPr/>
      </w:pPr>
      <w:r>
        <w:rPr>
          <w:rFonts w:cs="Times New Roman"/>
          <w:b/>
          <w:sz w:val="24"/>
          <w:szCs w:val="24"/>
          <w:lang w:val="en-US"/>
        </w:rPr>
        <w:t>THE MAIN TASK OF GOOD GOVERNANCE IN THE FIELD OF AGROECONOMIC DEVELOPMENT IN AFRICA</w:t>
      </w:r>
    </w:p>
    <w:p>
      <w:pPr>
        <w:pStyle w:val="Normal"/>
        <w:jc w:val="center"/>
        <w:rPr>
          <w:rFonts w:ascii="Times New Roman" w:hAnsi="Times New Roman" w:cs="Times New Roman"/>
          <w:b/>
          <w:b/>
          <w:sz w:val="24"/>
          <w:szCs w:val="24"/>
          <w:lang w:val="en-US"/>
        </w:rPr>
      </w:pPr>
      <w:r>
        <w:rPr/>
      </w:r>
    </w:p>
    <w:p>
      <w:pPr>
        <w:pStyle w:val="Normal"/>
        <w:jc w:val="center"/>
        <w:rPr>
          <w:rFonts w:ascii="Times New Roman" w:hAnsi="Times New Roman" w:cs="Times New Roman"/>
          <w:b/>
          <w:b/>
          <w:sz w:val="24"/>
          <w:szCs w:val="24"/>
          <w:lang w:val="en-US"/>
        </w:rPr>
      </w:pPr>
      <w:r>
        <w:rPr/>
      </w:r>
    </w:p>
    <w:p>
      <w:pPr>
        <w:pStyle w:val="Normal"/>
        <w:jc w:val="center"/>
        <w:rPr>
          <w:rFonts w:ascii="Times New Roman" w:hAnsi="Times New Roman" w:cs="Times New Roman"/>
          <w:b/>
          <w:b/>
          <w:sz w:val="24"/>
          <w:szCs w:val="24"/>
          <w:lang w:val="en-US"/>
        </w:rPr>
      </w:pPr>
      <w:r>
        <w:rPr/>
      </w:r>
    </w:p>
    <w:p>
      <w:pPr>
        <w:pStyle w:val="Normal"/>
        <w:jc w:val="center"/>
        <w:rPr>
          <w:rFonts w:ascii="Times New Roman" w:hAnsi="Times New Roman" w:cs="Times New Roman"/>
          <w:b/>
          <w:b/>
          <w:sz w:val="24"/>
          <w:szCs w:val="24"/>
          <w:lang w:val="en-US"/>
        </w:rPr>
      </w:pPr>
      <w:r>
        <w:rPr/>
      </w:r>
    </w:p>
    <w:p>
      <w:pPr>
        <w:pStyle w:val="Normal"/>
        <w:jc w:val="center"/>
        <w:rPr>
          <w:rFonts w:ascii="Times New Roman" w:hAnsi="Times New Roman" w:cs="Times New Roman"/>
          <w:b/>
          <w:b/>
          <w:sz w:val="24"/>
          <w:szCs w:val="24"/>
          <w:lang w:val="en-US"/>
        </w:rPr>
      </w:pPr>
      <w:bookmarkStart w:id="0" w:name="_GoBack1"/>
      <w:bookmarkStart w:id="1" w:name="_GoBack1"/>
      <w:bookmarkEnd w:id="1"/>
      <w:r>
        <w:rPr/>
      </w:r>
    </w:p>
    <w:p>
      <w:pPr>
        <w:pStyle w:val="Normal"/>
        <w:jc w:val="center"/>
        <w:rPr/>
      </w:pPr>
      <w:r>
        <w:rPr>
          <w:rFonts w:cs="Times New Roman"/>
          <w:sz w:val="24"/>
          <w:szCs w:val="24"/>
          <w:lang w:val="en-US"/>
        </w:rPr>
        <w:t>Dr. Endre Kanizsay CSc</w:t>
      </w:r>
    </w:p>
    <w:p>
      <w:pPr>
        <w:pStyle w:val="Normal"/>
        <w:jc w:val="center"/>
        <w:rPr/>
      </w:pPr>
      <w:r>
        <w:rPr>
          <w:rFonts w:cs="Times New Roman"/>
          <w:sz w:val="24"/>
          <w:szCs w:val="24"/>
          <w:lang w:val="en-US"/>
        </w:rPr>
        <w:t>h. univ. prof., FAO-cons., int. advisor</w:t>
      </w:r>
    </w:p>
    <w:p>
      <w:pPr>
        <w:pStyle w:val="Normal"/>
        <w:jc w:val="center"/>
        <w:rPr>
          <w:rFonts w:ascii="Times New Roman" w:hAnsi="Times New Roman" w:cs="Times New Roman"/>
          <w:sz w:val="24"/>
          <w:szCs w:val="24"/>
          <w:lang w:val="en-US"/>
        </w:rPr>
      </w:pPr>
      <w:r>
        <w:rPr/>
      </w:r>
    </w:p>
    <w:p>
      <w:pPr>
        <w:pStyle w:val="Normal"/>
        <w:jc w:val="center"/>
        <w:rPr/>
      </w:pPr>
      <w:r>
        <w:rPr>
          <w:rFonts w:cs="Times New Roman"/>
          <w:sz w:val="24"/>
          <w:szCs w:val="24"/>
          <w:lang w:val="en-US"/>
        </w:rPr>
        <w:t xml:space="preserve">Dr. Ákos Bodnár </w:t>
      </w:r>
    </w:p>
    <w:p>
      <w:pPr>
        <w:pStyle w:val="Normal"/>
        <w:jc w:val="center"/>
        <w:rPr/>
      </w:pPr>
      <w:r>
        <w:rPr>
          <w:rFonts w:cs="Times New Roman"/>
          <w:sz w:val="24"/>
          <w:szCs w:val="24"/>
          <w:lang w:val="en-US"/>
        </w:rPr>
        <w:t>Assistant Professor</w:t>
      </w:r>
    </w:p>
    <w:p>
      <w:pPr>
        <w:pStyle w:val="Normal"/>
        <w:jc w:val="center"/>
        <w:rPr>
          <w:rFonts w:ascii="Times New Roman" w:hAnsi="Times New Roman" w:cs="Times New Roman"/>
          <w:sz w:val="24"/>
          <w:szCs w:val="24"/>
          <w:lang w:val="en-US"/>
        </w:rPr>
      </w:pPr>
      <w:r>
        <w:rPr>
          <w:rFonts w:cs="Times New Roman"/>
          <w:sz w:val="24"/>
          <w:szCs w:val="24"/>
          <w:lang w:val="en-US"/>
        </w:rPr>
      </w:r>
    </w:p>
    <w:p>
      <w:pPr>
        <w:pStyle w:val="Normal"/>
        <w:jc w:val="center"/>
        <w:rPr/>
      </w:pPr>
      <w:r>
        <w:rPr>
          <w:rFonts w:cs="Times New Roman"/>
          <w:sz w:val="24"/>
          <w:szCs w:val="24"/>
          <w:lang w:val="en-US"/>
        </w:rPr>
        <w:t xml:space="preserve">Péter Gergő </w:t>
      </w:r>
      <w:r>
        <w:rPr>
          <w:rFonts w:cs="Times New Roman"/>
          <w:sz w:val="24"/>
          <w:szCs w:val="24"/>
          <w:lang w:val="en-US"/>
        </w:rPr>
        <w:t>Juhász</w:t>
      </w:r>
      <w:r>
        <w:rPr>
          <w:rFonts w:cs="Times New Roman"/>
          <w:sz w:val="24"/>
          <w:szCs w:val="24"/>
          <w:lang w:val="en-US"/>
        </w:rPr>
        <w:t xml:space="preserve"> MSc</w:t>
      </w:r>
    </w:p>
    <w:p>
      <w:pPr>
        <w:pStyle w:val="Normal"/>
        <w:jc w:val="center"/>
        <w:rPr/>
      </w:pPr>
      <w:r>
        <w:rPr>
          <w:rFonts w:cs="Times New Roman"/>
          <w:sz w:val="24"/>
          <w:szCs w:val="24"/>
          <w:lang w:val="en-US"/>
        </w:rPr>
        <w:t>PhD student</w:t>
      </w:r>
      <w:r>
        <w:br w:type="page"/>
      </w:r>
    </w:p>
    <w:p>
      <w:pPr>
        <w:pStyle w:val="Normal"/>
        <w:jc w:val="center"/>
        <w:rPr/>
      </w:pPr>
      <w:bookmarkStart w:id="2" w:name="_GoBack"/>
      <w:bookmarkEnd w:id="2"/>
      <w:r>
        <w:rPr>
          <w:b/>
          <w:lang w:val="en-GB"/>
        </w:rPr>
        <w:t>Good governance – Egypt</w:t>
      </w:r>
    </w:p>
    <w:p>
      <w:pPr>
        <w:pStyle w:val="Normal"/>
        <w:jc w:val="both"/>
        <w:rPr>
          <w:lang w:val="en-GB"/>
        </w:rPr>
      </w:pPr>
      <w:r>
        <w:rPr>
          <w:lang w:val="en-GB"/>
        </w:rPr>
      </w:r>
    </w:p>
    <w:p>
      <w:pPr>
        <w:pStyle w:val="Normal"/>
        <w:jc w:val="both"/>
        <w:rPr>
          <w:lang w:val="en-GB"/>
        </w:rPr>
      </w:pPr>
      <w:r>
        <w:rPr>
          <w:lang w:val="en-GB"/>
        </w:rPr>
      </w:r>
    </w:p>
    <w:p>
      <w:pPr>
        <w:pStyle w:val="Normal"/>
        <w:jc w:val="both"/>
        <w:rPr>
          <w:lang w:val="en-GB"/>
        </w:rPr>
      </w:pPr>
      <w:r>
        <w:rPr>
          <w:lang w:val="en-GB"/>
        </w:rPr>
        <w:t xml:space="preserve">There is no single definition of what ’Good Governance’ is, as well as there are differences of opinion as to the norms and criteria for its measurement. Values such as accountability, transparency, participation, and equality are to some degree or another common in literature and writings in that subject. According to the World Bank </w:t>
      </w:r>
      <w:r>
        <w:rPr>
          <w:i/>
          <w:lang w:val="en-GB"/>
        </w:rPr>
        <w:t>’Good Governance is exercising that authority in ways that respect the integrity, rights, and needs of everyone within the state’</w:t>
      </w:r>
      <w:r>
        <w:rPr>
          <w:lang w:val="en-GB"/>
        </w:rPr>
        <w:t xml:space="preserve"> one may argue that, good governance relations should be studied within a framework based</w:t>
      </w:r>
    </w:p>
    <w:p>
      <w:pPr>
        <w:pStyle w:val="Normal"/>
        <w:jc w:val="both"/>
        <w:rPr>
          <w:lang w:val="en-GB"/>
        </w:rPr>
      </w:pPr>
      <w:r>
        <w:rPr>
          <w:lang w:val="en-GB"/>
        </w:rPr>
        <w:t>on two global values of special importance in the Middle-East region, namely; Inclusiveness and Accountability. While Inclusiveness relies on mechanisms that define and respect the basic rights for all, Accountability relies on transparency and quality of information. Although the values of accountability and equality in treatment under law are not alien to the culture and heritage of the people of middle-eastern countries, it is found that those countries are noticeably poor in that regard and lie at the tail of the list (rating countries of the world on good governance</w:t>
      </w:r>
      <w:r>
        <w:rPr>
          <w:lang w:val="en-GB"/>
        </w:rPr>
        <w:t>)</w:t>
      </w:r>
      <w:r>
        <w:rPr>
          <w:lang w:val="en-GB"/>
        </w:rPr>
        <w:t>.</w:t>
      </w:r>
    </w:p>
    <w:p>
      <w:pPr>
        <w:pStyle w:val="Normal"/>
        <w:jc w:val="both"/>
        <w:rPr>
          <w:lang w:val="en-GB"/>
        </w:rPr>
      </w:pPr>
      <w:r>
        <w:rPr>
          <w:lang w:val="en-GB"/>
        </w:rPr>
      </w:r>
    </w:p>
    <w:p>
      <w:pPr>
        <w:pStyle w:val="Normal"/>
        <w:tabs>
          <w:tab w:val="left" w:pos="2552" w:leader="none"/>
        </w:tabs>
        <w:jc w:val="both"/>
        <w:rPr>
          <w:u w:val="single"/>
        </w:rPr>
      </w:pPr>
      <w:r>
        <w:rPr>
          <w:u w:val="single"/>
          <w:lang w:val="en-GB"/>
        </w:rPr>
        <w:t>Evaluation of Good Governance in Egypt</w:t>
      </w:r>
    </w:p>
    <w:p>
      <w:pPr>
        <w:pStyle w:val="Normal"/>
        <w:jc w:val="both"/>
        <w:rPr>
          <w:lang w:val="en-GB"/>
        </w:rPr>
      </w:pPr>
      <w:r>
        <w:rPr>
          <w:lang w:val="en-GB"/>
        </w:rPr>
        <w:t>International Reports indicate that accountability mechanisms are missing in Egyptian government performance. Consequently there exist multiples of modes of corruption such as misuse of public funds, bribes, tax fraud, misuse of power and authority, favoritism and ascription in selecting government leaders and in providing government services. Moreover the bureaucratic establishment suffers from massiveness and rigidity that frequently hinders attempts of modernization and improvement, and thus, the executive authority is severely centralized. Lack of reliable statistical data, fuzziness of information and hiding it from society, is another clear factor impeding transparency. Non-government organizations and civil society organizations are still inactive in political and developmental activities. Their role is still charitable at large.</w:t>
      </w:r>
    </w:p>
    <w:p>
      <w:pPr>
        <w:pStyle w:val="Normal"/>
        <w:jc w:val="both"/>
        <w:rPr>
          <w:lang w:val="en-GB"/>
        </w:rPr>
      </w:pPr>
      <w:r>
        <w:rPr>
          <w:lang w:val="en-GB"/>
        </w:rPr>
        <w:t xml:space="preserve">The Corruption Perceptions Index ranks countries and territories based on how corrupt their public sector is perceived to be. A country or territory’s score indicates the perceived level of public sector corruption on a scale of 0 (highly corrupt) to 100 (very clean). The index in 2014 includes 175 countries and territories. Egypt is ranked 94 with 37 points (32 points in both 2012 and 2013). </w:t>
      </w:r>
    </w:p>
    <w:p>
      <w:pPr>
        <w:pStyle w:val="Normal"/>
        <w:jc w:val="both"/>
        <w:rPr>
          <w:lang w:val="en-GB"/>
        </w:rPr>
      </w:pPr>
      <w:r>
        <w:rPr>
          <w:lang w:val="en-GB"/>
        </w:rPr>
      </w:r>
    </w:p>
    <w:p>
      <w:pPr>
        <w:pStyle w:val="Normal"/>
        <w:jc w:val="both"/>
        <w:rPr>
          <w:lang w:val="en-GB"/>
        </w:rPr>
      </w:pPr>
      <w:r>
        <w:rPr>
          <w:lang w:val="en-GB"/>
        </w:rPr>
        <w:t>The Worldwide Governance Indicators (WGI) project reports aggregate and individual governance indicators for 215 economies over the period 1996–2013, for six dimensions of governance:</w:t>
      </w:r>
    </w:p>
    <w:p>
      <w:pPr>
        <w:pStyle w:val="ListParagraph"/>
        <w:numPr>
          <w:ilvl w:val="0"/>
          <w:numId w:val="1"/>
        </w:numPr>
        <w:jc w:val="both"/>
        <w:rPr>
          <w:lang w:val="en-GB"/>
        </w:rPr>
      </w:pPr>
      <w:r>
        <w:rPr>
          <w:lang w:val="en-GB"/>
        </w:rPr>
        <w:t>Voice and Accountability</w:t>
      </w:r>
    </w:p>
    <w:p>
      <w:pPr>
        <w:pStyle w:val="ListParagraph"/>
        <w:numPr>
          <w:ilvl w:val="0"/>
          <w:numId w:val="1"/>
        </w:numPr>
        <w:jc w:val="both"/>
        <w:rPr>
          <w:lang w:val="en-GB"/>
        </w:rPr>
      </w:pPr>
      <w:r>
        <w:rPr>
          <w:lang w:val="en-GB"/>
        </w:rPr>
        <w:t>Political Stability and Absence of Violence</w:t>
      </w:r>
    </w:p>
    <w:p>
      <w:pPr>
        <w:pStyle w:val="ListParagraph"/>
        <w:numPr>
          <w:ilvl w:val="0"/>
          <w:numId w:val="1"/>
        </w:numPr>
        <w:jc w:val="both"/>
        <w:rPr>
          <w:lang w:val="en-GB"/>
        </w:rPr>
      </w:pPr>
      <w:r>
        <w:rPr>
          <w:lang w:val="en-GB"/>
        </w:rPr>
        <w:t>Government Effectiveness</w:t>
      </w:r>
    </w:p>
    <w:p>
      <w:pPr>
        <w:pStyle w:val="ListParagraph"/>
        <w:numPr>
          <w:ilvl w:val="0"/>
          <w:numId w:val="1"/>
        </w:numPr>
        <w:jc w:val="both"/>
        <w:rPr>
          <w:lang w:val="en-GB"/>
        </w:rPr>
      </w:pPr>
      <w:r>
        <w:rPr>
          <w:lang w:val="en-GB"/>
        </w:rPr>
        <w:t>Regulatory Quality</w:t>
      </w:r>
    </w:p>
    <w:p>
      <w:pPr>
        <w:pStyle w:val="ListParagraph"/>
        <w:numPr>
          <w:ilvl w:val="0"/>
          <w:numId w:val="1"/>
        </w:numPr>
        <w:jc w:val="both"/>
        <w:rPr>
          <w:lang w:val="en-GB"/>
        </w:rPr>
      </w:pPr>
      <w:r>
        <w:rPr>
          <w:lang w:val="en-GB"/>
        </w:rPr>
        <w:t>Rule of Law</w:t>
      </w:r>
    </w:p>
    <w:p>
      <w:pPr>
        <w:pStyle w:val="ListParagraph"/>
        <w:numPr>
          <w:ilvl w:val="0"/>
          <w:numId w:val="1"/>
        </w:numPr>
        <w:jc w:val="both"/>
        <w:rPr>
          <w:lang w:val="en-GB"/>
        </w:rPr>
      </w:pPr>
      <w:r>
        <w:rPr>
          <w:lang w:val="en-GB"/>
        </w:rPr>
        <w:t>Control of Corruption</w:t>
      </w:r>
    </w:p>
    <w:p>
      <w:pPr>
        <w:pStyle w:val="Normal"/>
        <w:jc w:val="both"/>
        <w:rPr>
          <w:lang w:val="en-GB"/>
        </w:rPr>
      </w:pPr>
      <w:r>
        <w:rPr>
          <w:lang w:val="en-GB"/>
        </w:rPr>
      </w:r>
    </w:p>
    <w:tbl>
      <w:tblPr>
        <w:tblStyle w:val="Rcsostblzat"/>
        <w:tblW w:w="9267" w:type="dxa"/>
        <w:jc w:val="left"/>
        <w:tblInd w:w="0" w:type="dxa"/>
        <w:tblCellMar>
          <w:top w:w="0" w:type="dxa"/>
          <w:left w:w="108" w:type="dxa"/>
          <w:bottom w:w="0" w:type="dxa"/>
          <w:right w:w="108" w:type="dxa"/>
        </w:tblCellMar>
        <w:tblLook w:firstRow="1" w:noVBand="1" w:lastRow="0" w:firstColumn="1" w:lastColumn="0" w:noHBand="0" w:val="04a0"/>
      </w:tblPr>
      <w:tblGrid>
        <w:gridCol w:w="722"/>
        <w:gridCol w:w="708"/>
        <w:gridCol w:w="708"/>
        <w:gridCol w:w="708"/>
        <w:gridCol w:w="708"/>
        <w:gridCol w:w="709"/>
        <w:gridCol w:w="709"/>
        <w:gridCol w:w="1"/>
        <w:gridCol w:w="708"/>
        <w:gridCol w:w="709"/>
        <w:gridCol w:w="2"/>
        <w:gridCol w:w="707"/>
        <w:gridCol w:w="709"/>
        <w:gridCol w:w="3"/>
        <w:gridCol w:w="706"/>
        <w:gridCol w:w="749"/>
      </w:tblGrid>
      <w:tr>
        <w:trPr/>
        <w:tc>
          <w:tcPr>
            <w:tcW w:w="722" w:type="dxa"/>
            <w:tcBorders/>
            <w:shd w:fill="auto" w:val="clear"/>
            <w:tcMar>
              <w:left w:w="108" w:type="dxa"/>
            </w:tcMar>
          </w:tcPr>
          <w:p>
            <w:pPr>
              <w:pStyle w:val="Normal"/>
              <w:jc w:val="both"/>
              <w:rPr>
                <w:lang w:val="en-GB"/>
              </w:rPr>
            </w:pPr>
            <w:r>
              <w:rPr>
                <w:lang w:val="en-GB"/>
              </w:rPr>
            </w:r>
          </w:p>
        </w:tc>
        <w:tc>
          <w:tcPr>
            <w:tcW w:w="1416" w:type="dxa"/>
            <w:gridSpan w:val="2"/>
            <w:tcBorders/>
            <w:shd w:fill="auto" w:val="clear"/>
            <w:tcMar>
              <w:left w:w="108" w:type="dxa"/>
            </w:tcMar>
          </w:tcPr>
          <w:p>
            <w:pPr>
              <w:pStyle w:val="Normal"/>
              <w:jc w:val="center"/>
              <w:rPr>
                <w:sz w:val="20"/>
                <w:szCs w:val="20"/>
              </w:rPr>
            </w:pPr>
            <w:r>
              <w:rPr>
                <w:sz w:val="20"/>
                <w:szCs w:val="20"/>
                <w:lang w:val="en-GB"/>
              </w:rPr>
              <w:t>Voice and Accountability</w:t>
            </w:r>
          </w:p>
        </w:tc>
        <w:tc>
          <w:tcPr>
            <w:tcW w:w="1416" w:type="dxa"/>
            <w:gridSpan w:val="2"/>
            <w:tcBorders/>
            <w:shd w:fill="auto" w:val="clear"/>
            <w:tcMar>
              <w:left w:w="108" w:type="dxa"/>
            </w:tcMar>
          </w:tcPr>
          <w:p>
            <w:pPr>
              <w:pStyle w:val="Normal"/>
              <w:jc w:val="center"/>
              <w:rPr>
                <w:sz w:val="20"/>
                <w:szCs w:val="20"/>
              </w:rPr>
            </w:pPr>
            <w:r>
              <w:rPr>
                <w:sz w:val="20"/>
                <w:szCs w:val="20"/>
                <w:lang w:val="en-GB"/>
              </w:rPr>
              <w:t>Political Stability and Absence of Violence</w:t>
            </w:r>
          </w:p>
        </w:tc>
        <w:tc>
          <w:tcPr>
            <w:tcW w:w="1419" w:type="dxa"/>
            <w:gridSpan w:val="3"/>
            <w:tcBorders/>
            <w:shd w:fill="auto" w:val="clear"/>
            <w:tcMar>
              <w:left w:w="108" w:type="dxa"/>
            </w:tcMar>
          </w:tcPr>
          <w:p>
            <w:pPr>
              <w:pStyle w:val="Normal"/>
              <w:jc w:val="center"/>
              <w:rPr>
                <w:sz w:val="20"/>
                <w:szCs w:val="20"/>
              </w:rPr>
            </w:pPr>
            <w:r>
              <w:rPr>
                <w:sz w:val="20"/>
                <w:szCs w:val="20"/>
                <w:lang w:val="en-GB"/>
              </w:rPr>
              <w:t>Government Effectiveness</w:t>
            </w:r>
          </w:p>
        </w:tc>
        <w:tc>
          <w:tcPr>
            <w:tcW w:w="1419" w:type="dxa"/>
            <w:gridSpan w:val="3"/>
            <w:tcBorders/>
            <w:shd w:fill="auto" w:val="clear"/>
            <w:tcMar>
              <w:left w:w="108" w:type="dxa"/>
            </w:tcMar>
          </w:tcPr>
          <w:p>
            <w:pPr>
              <w:pStyle w:val="Normal"/>
              <w:jc w:val="center"/>
              <w:rPr>
                <w:sz w:val="20"/>
                <w:szCs w:val="20"/>
              </w:rPr>
            </w:pPr>
            <w:r>
              <w:rPr>
                <w:sz w:val="20"/>
                <w:szCs w:val="20"/>
                <w:lang w:val="en-GB"/>
              </w:rPr>
              <w:t>Regulatory Quality</w:t>
            </w:r>
          </w:p>
        </w:tc>
        <w:tc>
          <w:tcPr>
            <w:tcW w:w="1419" w:type="dxa"/>
            <w:gridSpan w:val="3"/>
            <w:tcBorders/>
            <w:shd w:fill="auto" w:val="clear"/>
            <w:tcMar>
              <w:left w:w="108" w:type="dxa"/>
            </w:tcMar>
          </w:tcPr>
          <w:p>
            <w:pPr>
              <w:pStyle w:val="Normal"/>
              <w:jc w:val="center"/>
              <w:rPr>
                <w:sz w:val="20"/>
                <w:szCs w:val="20"/>
              </w:rPr>
            </w:pPr>
            <w:r>
              <w:rPr>
                <w:sz w:val="20"/>
                <w:szCs w:val="20"/>
                <w:lang w:val="en-GB"/>
              </w:rPr>
              <w:t>Rule of Law</w:t>
            </w:r>
          </w:p>
        </w:tc>
        <w:tc>
          <w:tcPr>
            <w:tcW w:w="1455" w:type="dxa"/>
            <w:gridSpan w:val="2"/>
            <w:tcBorders/>
            <w:shd w:fill="auto" w:val="clear"/>
            <w:tcMar>
              <w:left w:w="108" w:type="dxa"/>
            </w:tcMar>
          </w:tcPr>
          <w:p>
            <w:pPr>
              <w:pStyle w:val="Normal"/>
              <w:jc w:val="center"/>
              <w:rPr>
                <w:sz w:val="20"/>
                <w:szCs w:val="20"/>
              </w:rPr>
            </w:pPr>
            <w:r>
              <w:rPr>
                <w:sz w:val="20"/>
                <w:szCs w:val="20"/>
                <w:lang w:val="en-GB"/>
              </w:rPr>
              <w:t>Control of Corruption</w:t>
            </w:r>
          </w:p>
        </w:tc>
      </w:tr>
      <w:tr>
        <w:trPr>
          <w:trHeight w:val="70" w:hRule="atLeast"/>
        </w:trPr>
        <w:tc>
          <w:tcPr>
            <w:tcW w:w="722" w:type="dxa"/>
            <w:tcBorders/>
            <w:shd w:fill="auto" w:val="clear"/>
            <w:tcMar>
              <w:left w:w="108" w:type="dxa"/>
            </w:tcMar>
          </w:tcPr>
          <w:p>
            <w:pPr>
              <w:pStyle w:val="Normal"/>
              <w:jc w:val="both"/>
              <w:rPr>
                <w:lang w:val="en-GB"/>
              </w:rPr>
            </w:pPr>
            <w:r>
              <w:rPr>
                <w:lang w:val="en-GB"/>
              </w:rPr>
            </w:r>
          </w:p>
        </w:tc>
        <w:tc>
          <w:tcPr>
            <w:tcW w:w="708" w:type="dxa"/>
            <w:tcBorders/>
            <w:shd w:fill="auto" w:val="clear"/>
            <w:tcMar>
              <w:left w:w="108" w:type="dxa"/>
            </w:tcMar>
          </w:tcPr>
          <w:p>
            <w:pPr>
              <w:pStyle w:val="Normal"/>
              <w:jc w:val="both"/>
              <w:rPr>
                <w:lang w:val="en-GB"/>
              </w:rPr>
            </w:pPr>
            <w:r>
              <w:rPr>
                <w:lang w:val="en-GB"/>
              </w:rPr>
              <w:t>2012</w:t>
            </w:r>
          </w:p>
        </w:tc>
        <w:tc>
          <w:tcPr>
            <w:tcW w:w="708" w:type="dxa"/>
            <w:tcBorders/>
            <w:shd w:fill="auto" w:val="clear"/>
            <w:tcMar>
              <w:left w:w="108" w:type="dxa"/>
            </w:tcMar>
          </w:tcPr>
          <w:p>
            <w:pPr>
              <w:pStyle w:val="Normal"/>
              <w:jc w:val="both"/>
              <w:rPr>
                <w:lang w:val="en-GB"/>
              </w:rPr>
            </w:pPr>
            <w:r>
              <w:rPr>
                <w:lang w:val="en-GB"/>
              </w:rPr>
              <w:t>2013</w:t>
            </w:r>
          </w:p>
        </w:tc>
        <w:tc>
          <w:tcPr>
            <w:tcW w:w="708" w:type="dxa"/>
            <w:tcBorders/>
            <w:shd w:fill="auto" w:val="clear"/>
            <w:tcMar>
              <w:left w:w="108" w:type="dxa"/>
            </w:tcMar>
          </w:tcPr>
          <w:p>
            <w:pPr>
              <w:pStyle w:val="Normal"/>
              <w:jc w:val="both"/>
              <w:rPr>
                <w:lang w:val="en-GB"/>
              </w:rPr>
            </w:pPr>
            <w:r>
              <w:rPr>
                <w:lang w:val="en-GB"/>
              </w:rPr>
              <w:t>2012</w:t>
            </w:r>
          </w:p>
        </w:tc>
        <w:tc>
          <w:tcPr>
            <w:tcW w:w="708" w:type="dxa"/>
            <w:tcBorders/>
            <w:shd w:fill="auto" w:val="clear"/>
            <w:tcMar>
              <w:left w:w="108" w:type="dxa"/>
            </w:tcMar>
          </w:tcPr>
          <w:p>
            <w:pPr>
              <w:pStyle w:val="Normal"/>
              <w:jc w:val="both"/>
              <w:rPr>
                <w:lang w:val="en-GB"/>
              </w:rPr>
            </w:pPr>
            <w:r>
              <w:rPr>
                <w:lang w:val="en-GB"/>
              </w:rPr>
              <w:t>2013</w:t>
            </w:r>
          </w:p>
        </w:tc>
        <w:tc>
          <w:tcPr>
            <w:tcW w:w="709" w:type="dxa"/>
            <w:tcBorders/>
            <w:shd w:fill="auto" w:val="clear"/>
            <w:tcMar>
              <w:left w:w="108" w:type="dxa"/>
            </w:tcMar>
          </w:tcPr>
          <w:p>
            <w:pPr>
              <w:pStyle w:val="Normal"/>
              <w:jc w:val="both"/>
              <w:rPr>
                <w:lang w:val="en-GB"/>
              </w:rPr>
            </w:pPr>
            <w:r>
              <w:rPr>
                <w:lang w:val="en-GB"/>
              </w:rPr>
              <w:t>2012</w:t>
            </w:r>
          </w:p>
        </w:tc>
        <w:tc>
          <w:tcPr>
            <w:tcW w:w="709" w:type="dxa"/>
            <w:tcBorders/>
            <w:shd w:fill="auto" w:val="clear"/>
            <w:tcMar>
              <w:left w:w="108" w:type="dxa"/>
            </w:tcMar>
          </w:tcPr>
          <w:p>
            <w:pPr>
              <w:pStyle w:val="Normal"/>
              <w:jc w:val="both"/>
              <w:rPr>
                <w:lang w:val="en-GB"/>
              </w:rPr>
            </w:pPr>
            <w:r>
              <w:rPr>
                <w:lang w:val="en-GB"/>
              </w:rPr>
              <w:t>2013</w:t>
            </w:r>
          </w:p>
        </w:tc>
        <w:tc>
          <w:tcPr>
            <w:tcW w:w="709" w:type="dxa"/>
            <w:gridSpan w:val="2"/>
            <w:tcBorders/>
            <w:shd w:fill="auto" w:val="clear"/>
            <w:tcMar>
              <w:left w:w="108" w:type="dxa"/>
            </w:tcMar>
          </w:tcPr>
          <w:p>
            <w:pPr>
              <w:pStyle w:val="Normal"/>
              <w:jc w:val="both"/>
              <w:rPr>
                <w:lang w:val="en-GB"/>
              </w:rPr>
            </w:pPr>
            <w:r>
              <w:rPr>
                <w:lang w:val="en-GB"/>
              </w:rPr>
              <w:t>2012</w:t>
            </w:r>
          </w:p>
        </w:tc>
        <w:tc>
          <w:tcPr>
            <w:tcW w:w="709" w:type="dxa"/>
            <w:tcBorders/>
            <w:shd w:fill="auto" w:val="clear"/>
            <w:tcMar>
              <w:left w:w="108" w:type="dxa"/>
            </w:tcMar>
          </w:tcPr>
          <w:p>
            <w:pPr>
              <w:pStyle w:val="Normal"/>
              <w:jc w:val="both"/>
              <w:rPr>
                <w:lang w:val="en-GB"/>
              </w:rPr>
            </w:pPr>
            <w:r>
              <w:rPr>
                <w:lang w:val="en-GB"/>
              </w:rPr>
              <w:t>2013</w:t>
            </w:r>
          </w:p>
        </w:tc>
        <w:tc>
          <w:tcPr>
            <w:tcW w:w="709" w:type="dxa"/>
            <w:gridSpan w:val="2"/>
            <w:tcBorders/>
            <w:shd w:fill="auto" w:val="clear"/>
            <w:tcMar>
              <w:left w:w="108" w:type="dxa"/>
            </w:tcMar>
          </w:tcPr>
          <w:p>
            <w:pPr>
              <w:pStyle w:val="Normal"/>
              <w:jc w:val="both"/>
              <w:rPr>
                <w:lang w:val="en-GB"/>
              </w:rPr>
            </w:pPr>
            <w:r>
              <w:rPr>
                <w:lang w:val="en-GB"/>
              </w:rPr>
              <w:t>2012</w:t>
            </w:r>
          </w:p>
        </w:tc>
        <w:tc>
          <w:tcPr>
            <w:tcW w:w="709" w:type="dxa"/>
            <w:tcBorders/>
            <w:shd w:fill="auto" w:val="clear"/>
            <w:tcMar>
              <w:left w:w="108" w:type="dxa"/>
            </w:tcMar>
          </w:tcPr>
          <w:p>
            <w:pPr>
              <w:pStyle w:val="Normal"/>
              <w:jc w:val="both"/>
              <w:rPr>
                <w:lang w:val="en-GB"/>
              </w:rPr>
            </w:pPr>
            <w:r>
              <w:rPr>
                <w:lang w:val="en-GB"/>
              </w:rPr>
              <w:t>2013</w:t>
            </w:r>
          </w:p>
        </w:tc>
        <w:tc>
          <w:tcPr>
            <w:tcW w:w="709" w:type="dxa"/>
            <w:gridSpan w:val="2"/>
            <w:tcBorders/>
            <w:shd w:fill="auto" w:val="clear"/>
            <w:tcMar>
              <w:left w:w="108" w:type="dxa"/>
            </w:tcMar>
          </w:tcPr>
          <w:p>
            <w:pPr>
              <w:pStyle w:val="Normal"/>
              <w:jc w:val="both"/>
              <w:rPr>
                <w:lang w:val="en-GB"/>
              </w:rPr>
            </w:pPr>
            <w:r>
              <w:rPr>
                <w:lang w:val="en-GB"/>
              </w:rPr>
              <w:t>2012</w:t>
            </w:r>
          </w:p>
        </w:tc>
        <w:tc>
          <w:tcPr>
            <w:tcW w:w="749" w:type="dxa"/>
            <w:tcBorders/>
            <w:shd w:fill="auto" w:val="clear"/>
            <w:tcMar>
              <w:left w:w="108" w:type="dxa"/>
            </w:tcMar>
          </w:tcPr>
          <w:p>
            <w:pPr>
              <w:pStyle w:val="Normal"/>
              <w:jc w:val="both"/>
              <w:rPr>
                <w:lang w:val="en-GB"/>
              </w:rPr>
            </w:pPr>
            <w:r>
              <w:rPr>
                <w:lang w:val="en-GB"/>
              </w:rPr>
              <w:t>2013</w:t>
            </w:r>
          </w:p>
        </w:tc>
      </w:tr>
      <w:tr>
        <w:trPr/>
        <w:tc>
          <w:tcPr>
            <w:tcW w:w="722" w:type="dxa"/>
            <w:tcBorders/>
            <w:shd w:fill="auto" w:val="clear"/>
            <w:tcMar>
              <w:left w:w="108" w:type="dxa"/>
            </w:tcMar>
          </w:tcPr>
          <w:p>
            <w:pPr>
              <w:pStyle w:val="Normal"/>
              <w:jc w:val="both"/>
              <w:rPr>
                <w:lang w:val="en-GB"/>
              </w:rPr>
            </w:pPr>
            <w:r>
              <w:rPr>
                <w:lang w:val="en-GB"/>
              </w:rPr>
              <w:t>Rank</w:t>
            </w:r>
          </w:p>
        </w:tc>
        <w:tc>
          <w:tcPr>
            <w:tcW w:w="708" w:type="dxa"/>
            <w:tcBorders/>
            <w:shd w:fill="auto" w:val="clear"/>
            <w:tcMar>
              <w:left w:w="108" w:type="dxa"/>
            </w:tcMar>
          </w:tcPr>
          <w:p>
            <w:pPr>
              <w:pStyle w:val="Normal"/>
              <w:jc w:val="both"/>
              <w:rPr>
                <w:lang w:val="en-GB"/>
              </w:rPr>
            </w:pPr>
            <w:r>
              <w:rPr>
                <w:lang w:val="en-GB"/>
              </w:rPr>
              <w:t>26</w:t>
            </w:r>
          </w:p>
        </w:tc>
        <w:tc>
          <w:tcPr>
            <w:tcW w:w="708" w:type="dxa"/>
            <w:tcBorders/>
            <w:shd w:fill="auto" w:val="clear"/>
            <w:tcMar>
              <w:left w:w="108" w:type="dxa"/>
            </w:tcMar>
          </w:tcPr>
          <w:p>
            <w:pPr>
              <w:pStyle w:val="Normal"/>
              <w:jc w:val="both"/>
              <w:rPr>
                <w:lang w:val="en-GB"/>
              </w:rPr>
            </w:pPr>
            <w:r>
              <w:rPr>
                <w:lang w:val="en-GB"/>
              </w:rPr>
              <w:t>18</w:t>
            </w:r>
          </w:p>
        </w:tc>
        <w:tc>
          <w:tcPr>
            <w:tcW w:w="708" w:type="dxa"/>
            <w:tcBorders/>
            <w:shd w:fill="auto" w:val="clear"/>
            <w:tcMar>
              <w:left w:w="108" w:type="dxa"/>
            </w:tcMar>
          </w:tcPr>
          <w:p>
            <w:pPr>
              <w:pStyle w:val="Normal"/>
              <w:jc w:val="both"/>
              <w:rPr>
                <w:lang w:val="en-GB"/>
              </w:rPr>
            </w:pPr>
            <w:r>
              <w:rPr>
                <w:lang w:val="en-GB"/>
              </w:rPr>
              <w:t>8</w:t>
            </w:r>
          </w:p>
        </w:tc>
        <w:tc>
          <w:tcPr>
            <w:tcW w:w="708" w:type="dxa"/>
            <w:tcBorders/>
            <w:shd w:fill="auto" w:val="clear"/>
            <w:tcMar>
              <w:left w:w="108" w:type="dxa"/>
            </w:tcMar>
          </w:tcPr>
          <w:p>
            <w:pPr>
              <w:pStyle w:val="Normal"/>
              <w:jc w:val="both"/>
              <w:rPr>
                <w:lang w:val="en-GB"/>
              </w:rPr>
            </w:pPr>
            <w:r>
              <w:rPr>
                <w:lang w:val="en-GB"/>
              </w:rPr>
              <w:t>7</w:t>
            </w:r>
          </w:p>
        </w:tc>
        <w:tc>
          <w:tcPr>
            <w:tcW w:w="709" w:type="dxa"/>
            <w:tcBorders/>
            <w:shd w:fill="auto" w:val="clear"/>
            <w:tcMar>
              <w:left w:w="108" w:type="dxa"/>
            </w:tcMar>
          </w:tcPr>
          <w:p>
            <w:pPr>
              <w:pStyle w:val="Normal"/>
              <w:jc w:val="both"/>
              <w:rPr>
                <w:lang w:val="en-GB"/>
              </w:rPr>
            </w:pPr>
            <w:r>
              <w:rPr>
                <w:lang w:val="en-GB"/>
              </w:rPr>
              <w:t>25</w:t>
            </w:r>
          </w:p>
        </w:tc>
        <w:tc>
          <w:tcPr>
            <w:tcW w:w="709" w:type="dxa"/>
            <w:tcBorders/>
            <w:shd w:fill="auto" w:val="clear"/>
            <w:tcMar>
              <w:left w:w="108" w:type="dxa"/>
            </w:tcMar>
          </w:tcPr>
          <w:p>
            <w:pPr>
              <w:pStyle w:val="Normal"/>
              <w:jc w:val="both"/>
              <w:rPr>
                <w:lang w:val="en-GB"/>
              </w:rPr>
            </w:pPr>
            <w:r>
              <w:rPr>
                <w:lang w:val="en-GB"/>
              </w:rPr>
              <w:t>20</w:t>
            </w:r>
          </w:p>
        </w:tc>
        <w:tc>
          <w:tcPr>
            <w:tcW w:w="709" w:type="dxa"/>
            <w:gridSpan w:val="2"/>
            <w:tcBorders/>
            <w:shd w:fill="auto" w:val="clear"/>
            <w:tcMar>
              <w:left w:w="108" w:type="dxa"/>
            </w:tcMar>
          </w:tcPr>
          <w:p>
            <w:pPr>
              <w:pStyle w:val="Normal"/>
              <w:jc w:val="both"/>
              <w:rPr>
                <w:lang w:val="en-GB"/>
              </w:rPr>
            </w:pPr>
            <w:r>
              <w:rPr>
                <w:lang w:val="en-GB"/>
              </w:rPr>
              <w:t>33</w:t>
            </w:r>
          </w:p>
        </w:tc>
        <w:tc>
          <w:tcPr>
            <w:tcW w:w="709" w:type="dxa"/>
            <w:tcBorders/>
            <w:shd w:fill="auto" w:val="clear"/>
            <w:tcMar>
              <w:left w:w="108" w:type="dxa"/>
            </w:tcMar>
          </w:tcPr>
          <w:p>
            <w:pPr>
              <w:pStyle w:val="Normal"/>
              <w:jc w:val="both"/>
              <w:rPr>
                <w:lang w:val="en-GB"/>
              </w:rPr>
            </w:pPr>
            <w:r>
              <w:rPr>
                <w:lang w:val="en-GB"/>
              </w:rPr>
              <w:t>26</w:t>
            </w:r>
          </w:p>
        </w:tc>
        <w:tc>
          <w:tcPr>
            <w:tcW w:w="709" w:type="dxa"/>
            <w:gridSpan w:val="2"/>
            <w:tcBorders/>
            <w:shd w:fill="auto" w:val="clear"/>
            <w:tcMar>
              <w:left w:w="108" w:type="dxa"/>
            </w:tcMar>
          </w:tcPr>
          <w:p>
            <w:pPr>
              <w:pStyle w:val="Normal"/>
              <w:jc w:val="both"/>
              <w:rPr>
                <w:lang w:val="en-GB"/>
              </w:rPr>
            </w:pPr>
            <w:r>
              <w:rPr>
                <w:lang w:val="en-GB"/>
              </w:rPr>
              <w:t>40</w:t>
            </w:r>
          </w:p>
        </w:tc>
        <w:tc>
          <w:tcPr>
            <w:tcW w:w="709" w:type="dxa"/>
            <w:tcBorders/>
            <w:shd w:fill="auto" w:val="clear"/>
            <w:tcMar>
              <w:left w:w="108" w:type="dxa"/>
            </w:tcMar>
          </w:tcPr>
          <w:p>
            <w:pPr>
              <w:pStyle w:val="Normal"/>
              <w:jc w:val="both"/>
              <w:rPr>
                <w:lang w:val="en-GB"/>
              </w:rPr>
            </w:pPr>
            <w:r>
              <w:rPr>
                <w:lang w:val="en-GB"/>
              </w:rPr>
              <w:t>34</w:t>
            </w:r>
          </w:p>
        </w:tc>
        <w:tc>
          <w:tcPr>
            <w:tcW w:w="709" w:type="dxa"/>
            <w:gridSpan w:val="2"/>
            <w:tcBorders/>
            <w:shd w:fill="auto" w:val="clear"/>
            <w:tcMar>
              <w:left w:w="108" w:type="dxa"/>
            </w:tcMar>
          </w:tcPr>
          <w:p>
            <w:pPr>
              <w:pStyle w:val="Normal"/>
              <w:jc w:val="both"/>
              <w:rPr>
                <w:lang w:val="en-GB"/>
              </w:rPr>
            </w:pPr>
            <w:r>
              <w:rPr>
                <w:lang w:val="en-GB"/>
              </w:rPr>
              <w:t>33</w:t>
            </w:r>
          </w:p>
        </w:tc>
        <w:tc>
          <w:tcPr>
            <w:tcW w:w="749" w:type="dxa"/>
            <w:tcBorders/>
            <w:shd w:fill="auto" w:val="clear"/>
            <w:tcMar>
              <w:left w:w="108" w:type="dxa"/>
            </w:tcMar>
          </w:tcPr>
          <w:p>
            <w:pPr>
              <w:pStyle w:val="Normal"/>
              <w:jc w:val="both"/>
              <w:rPr>
                <w:lang w:val="en-GB"/>
              </w:rPr>
            </w:pPr>
            <w:r>
              <w:rPr>
                <w:lang w:val="en-GB"/>
              </w:rPr>
              <w:t>33</w:t>
            </w:r>
          </w:p>
        </w:tc>
      </w:tr>
    </w:tbl>
    <w:p>
      <w:pPr>
        <w:pStyle w:val="Normal"/>
        <w:jc w:val="both"/>
        <w:rPr>
          <w:lang w:val="en-GB"/>
        </w:rPr>
      </w:pPr>
      <w:r>
        <w:rPr>
          <w:lang w:val="en-GB"/>
        </w:rPr>
      </w:r>
    </w:p>
    <w:p>
      <w:pPr>
        <w:pStyle w:val="Normal"/>
        <w:jc w:val="both"/>
        <w:rPr>
          <w:lang w:val="en-GB"/>
        </w:rPr>
      </w:pPr>
      <w:r>
        <w:rPr>
          <w:lang w:val="en-GB"/>
        </w:rPr>
      </w:r>
    </w:p>
    <w:p>
      <w:pPr>
        <w:pStyle w:val="Normal"/>
        <w:jc w:val="both"/>
        <w:rPr>
          <w:lang w:val="en-GB"/>
        </w:rPr>
      </w:pPr>
      <w:r>
        <w:rPr>
          <w:lang w:val="en-GB"/>
        </w:rPr>
      </w:r>
    </w:p>
    <w:p>
      <w:pPr>
        <w:pStyle w:val="Normal"/>
        <w:jc w:val="both"/>
        <w:rPr>
          <w:lang w:val="en-GB"/>
        </w:rPr>
      </w:pPr>
      <w:r>
        <w:rPr>
          <w:lang w:val="en-GB"/>
        </w:rPr>
        <w:t>Sources:</w:t>
      </w:r>
    </w:p>
    <w:p>
      <w:pPr>
        <w:pStyle w:val="Normal"/>
        <w:jc w:val="both"/>
        <w:rPr>
          <w:lang w:val="en-GB"/>
        </w:rPr>
      </w:pPr>
      <w:r>
        <w:rPr>
          <w:lang w:val="en-GB"/>
        </w:rPr>
        <w:t>Good governance in Egypt, 2004 by Dr. Mahmoud Gebril</w:t>
      </w:r>
    </w:p>
    <w:p>
      <w:pPr>
        <w:pStyle w:val="Normal"/>
        <w:jc w:val="both"/>
        <w:rPr/>
      </w:pPr>
      <w:hyperlink r:id="rId2">
        <w:r>
          <w:rPr>
            <w:rStyle w:val="Internethivatkozs"/>
            <w:lang w:val="en-GB"/>
          </w:rPr>
          <w:t>http://www.transparency.org/cpi2014/results</w:t>
        </w:r>
      </w:hyperlink>
    </w:p>
    <w:p>
      <w:pPr>
        <w:pStyle w:val="Normal"/>
        <w:jc w:val="both"/>
        <w:rPr/>
      </w:pPr>
      <w:hyperlink r:id="rId3">
        <w:r>
          <w:rPr>
            <w:rStyle w:val="Internethivatkozs"/>
            <w:lang w:val="en-GB"/>
          </w:rPr>
          <w:t>http://info.worldbank.org/governance/wgi</w:t>
        </w:r>
      </w:hyperlink>
    </w:p>
    <w:p>
      <w:pPr>
        <w:pStyle w:val="Normal"/>
        <w:jc w:val="both"/>
        <w:rPr>
          <w:lang w:val="en-GB"/>
        </w:rPr>
      </w:pPr>
      <w:r>
        <w:rPr>
          <w:lang w:val="en-GB"/>
        </w:rPr>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Liberation Sans">
    <w:altName w:val="Arial"/>
    <w:charset w:val="ee"/>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7437"/>
    <w:pPr>
      <w:widowControl/>
      <w:bidi w:val="0"/>
      <w:jc w:val="left"/>
    </w:pPr>
    <w:rPr>
      <w:rFonts w:ascii="Times New Roman" w:hAnsi="Times New Roman" w:eastAsia="Times New Roman" w:cs="Times New Roman"/>
      <w:color w:val="auto"/>
      <w:sz w:val="24"/>
      <w:szCs w:val="24"/>
      <w:lang w:val="hu-HU" w:eastAsia="hu-HU" w:bidi="ar-SA"/>
    </w:rPr>
  </w:style>
  <w:style w:type="paragraph" w:styleId="Cmsor1">
    <w:name w:val="Címsor 1"/>
    <w:basedOn w:val="Normal"/>
    <w:link w:val="Cmsor1Char"/>
    <w:qFormat/>
    <w:rsid w:val="00947437"/>
    <w:pPr>
      <w:keepNext/>
      <w:tabs>
        <w:tab w:val="left" w:pos="2700" w:leader="none"/>
      </w:tabs>
      <w:outlineLvl w:val="0"/>
    </w:pPr>
    <w:rPr>
      <w:u w:val="single"/>
    </w:rPr>
  </w:style>
  <w:style w:type="paragraph" w:styleId="Cmsor2">
    <w:name w:val="Címsor 2"/>
    <w:basedOn w:val="Normal"/>
    <w:link w:val="Cmsor2Char"/>
    <w:qFormat/>
    <w:rsid w:val="00947437"/>
    <w:pPr>
      <w:keepNext/>
      <w:outlineLvl w:val="1"/>
    </w:pPr>
    <w:rPr>
      <w:sz w:val="36"/>
      <w:szCs w:val="28"/>
    </w:rPr>
  </w:style>
  <w:style w:type="character" w:styleId="DefaultParagraphFont" w:default="1">
    <w:name w:val="Default Paragraph Font"/>
    <w:uiPriority w:val="1"/>
    <w:semiHidden/>
    <w:unhideWhenUsed/>
    <w:qFormat/>
    <w:rPr/>
  </w:style>
  <w:style w:type="character" w:styleId="Cmsor1Char" w:customStyle="1">
    <w:name w:val="Címsor 1 Char"/>
    <w:basedOn w:val="DefaultParagraphFont"/>
    <w:link w:val="Cmsor1"/>
    <w:qFormat/>
    <w:rsid w:val="00947437"/>
    <w:rPr>
      <w:sz w:val="24"/>
      <w:szCs w:val="24"/>
      <w:u w:val="single"/>
    </w:rPr>
  </w:style>
  <w:style w:type="character" w:styleId="Cmsor2Char" w:customStyle="1">
    <w:name w:val="Címsor 2 Char"/>
    <w:basedOn w:val="DefaultParagraphFont"/>
    <w:link w:val="Cmsor2"/>
    <w:qFormat/>
    <w:rsid w:val="00947437"/>
    <w:rPr>
      <w:sz w:val="36"/>
      <w:szCs w:val="28"/>
    </w:rPr>
  </w:style>
  <w:style w:type="character" w:styleId="AlcmChar" w:customStyle="1">
    <w:name w:val="Alcím Char"/>
    <w:basedOn w:val="DefaultParagraphFont"/>
    <w:link w:val="Alcm"/>
    <w:qFormat/>
    <w:rsid w:val="00947437"/>
    <w:rPr>
      <w:rFonts w:ascii="Cambria" w:hAnsi="Cambria" w:eastAsia="ＭＳ ゴシック" w:cs="" w:asciiTheme="majorHAnsi" w:cstheme="majorBidi" w:eastAsiaTheme="majorEastAsia" w:hAnsiTheme="majorHAnsi"/>
      <w:i/>
      <w:iCs/>
      <w:color w:val="4F81BD" w:themeColor="accent1"/>
      <w:spacing w:val="15"/>
      <w:sz w:val="24"/>
      <w:szCs w:val="24"/>
    </w:rPr>
  </w:style>
  <w:style w:type="character" w:styleId="Internethivatkozs">
    <w:name w:val="Internet-hivatkozás"/>
    <w:basedOn w:val="DefaultParagraphFont"/>
    <w:uiPriority w:val="99"/>
    <w:unhideWhenUsed/>
    <w:rsid w:val="00de2e0b"/>
    <w:rPr>
      <w:color w:val="0000FF" w:themeColor="hyperlink"/>
      <w:u w:val="single"/>
    </w:rPr>
  </w:style>
  <w:style w:type="character" w:styleId="ListLabel1">
    <w:name w:val="ListLabel 1"/>
    <w:qFormat/>
    <w:rPr>
      <w:rFonts w:eastAsia="Times New Roman" w:cs="Times New Roman"/>
    </w:rPr>
  </w:style>
  <w:style w:type="character" w:styleId="ListLabel2">
    <w:name w:val="ListLabel 2"/>
    <w:qFormat/>
    <w:rPr>
      <w:rFonts w:cs="Courier New"/>
    </w:rPr>
  </w:style>
  <w:style w:type="paragraph" w:styleId="Cmsor">
    <w:name w:val="Címsor"/>
    <w:basedOn w:val="Normal"/>
    <w:next w:val="Szvegtrzs"/>
    <w:qFormat/>
    <w:pPr>
      <w:keepNext/>
      <w:spacing w:before="240" w:after="120"/>
    </w:pPr>
    <w:rPr>
      <w:rFonts w:ascii="Liberation Sans" w:hAnsi="Liberation Sans" w:eastAsia="Microsoft YaHei" w:cs="Ari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cs="Arial"/>
    </w:rPr>
  </w:style>
  <w:style w:type="paragraph" w:styleId="Felirat">
    <w:name w:val="Felirat"/>
    <w:basedOn w:val="Normal"/>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Alcm">
    <w:name w:val="Alcím"/>
    <w:basedOn w:val="Normal"/>
    <w:link w:val="AlcmChar"/>
    <w:qFormat/>
    <w:rsid w:val="00947437"/>
    <w:pPr/>
    <w:rPr>
      <w:rFonts w:ascii="Cambria" w:hAnsi="Cambria" w:eastAsia="ＭＳ ゴシック" w:cs="" w:asciiTheme="majorHAnsi" w:cstheme="majorBidi" w:eastAsiaTheme="majorEastAsia" w:hAnsiTheme="majorHAnsi"/>
      <w:i/>
      <w:iCs/>
      <w:color w:val="4F81BD" w:themeColor="accent1"/>
      <w:spacing w:val="15"/>
    </w:rPr>
  </w:style>
  <w:style w:type="paragraph" w:styleId="ListParagraph">
    <w:name w:val="List Paragraph"/>
    <w:basedOn w:val="Normal"/>
    <w:uiPriority w:val="34"/>
    <w:qFormat/>
    <w:rsid w:val="00947437"/>
    <w:pPr>
      <w:spacing w:before="0" w:after="0"/>
      <w:ind w:left="720" w:hanging="0"/>
      <w:contextualSpacing/>
    </w:pPr>
    <w:rPr/>
  </w:style>
  <w:style w:type="numbering" w:styleId="NoList" w:default="1">
    <w:name w:val="No List"/>
    <w:uiPriority w:val="99"/>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table" w:styleId="Rcsostblzat">
    <w:name w:val="Table Grid"/>
    <w:basedOn w:val="Normltblzat"/>
    <w:uiPriority w:val="59"/>
    <w:rsid w:val="00de2e0b"/>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ransparency.org/cpi2014/results" TargetMode="External"/><Relationship Id="rId3" Type="http://schemas.openxmlformats.org/officeDocument/2006/relationships/hyperlink" Target="http://info.worldbank.org/governance/wgi"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LibreOffice/5.0.4.2$Windows_x86 LibreOffice_project/2b9802c1994aa0b7dc6079e128979269cf95bc78</Application>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2016-01-15T09:06:00Z</dcterms:created>
  <dc:creator>user</dc:creator>
  <dc:language>hu-HU</dc:language>
  <dcterms:modified xsi:type="dcterms:W3CDTF">2016-04-14T10:38:41Z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