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51" w:rsidRPr="00D45B51" w:rsidRDefault="00D45B51" w:rsidP="00D45B51">
      <w:pPr>
        <w:autoSpaceDE w:val="0"/>
        <w:autoSpaceDN w:val="0"/>
        <w:adjustRightInd w:val="0"/>
        <w:spacing w:after="0" w:line="480" w:lineRule="auto"/>
        <w:ind w:left="-360"/>
        <w:jc w:val="center"/>
        <w:rPr>
          <w:rFonts w:ascii="Times New Roman" w:hAnsi="Times New Roman" w:cs="Times New Roman"/>
          <w:b/>
          <w:bCs/>
          <w:color w:val="215868"/>
          <w:sz w:val="24"/>
          <w:szCs w:val="24"/>
        </w:rPr>
      </w:pPr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Dietary effect of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Acalypha</w:t>
      </w:r>
      <w:proofErr w:type="spellEnd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 xml:space="preserve">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fimbriata</w:t>
      </w:r>
      <w:proofErr w:type="spellEnd"/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 on growth and </w:t>
      </w:r>
      <w:proofErr w:type="spellStart"/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>haematological</w:t>
      </w:r>
      <w:proofErr w:type="spellEnd"/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 changes in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Clarias</w:t>
      </w:r>
      <w:proofErr w:type="spellEnd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 xml:space="preserve">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gariepinus</w:t>
      </w:r>
      <w:proofErr w:type="spellEnd"/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 and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Oreochromis</w:t>
      </w:r>
      <w:proofErr w:type="spellEnd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 xml:space="preserve"> </w:t>
      </w:r>
      <w:proofErr w:type="spellStart"/>
      <w:r w:rsidRPr="00D45B51">
        <w:rPr>
          <w:rFonts w:ascii="Times New Roman" w:hAnsi="Times New Roman" w:cs="Times New Roman"/>
          <w:b/>
          <w:bCs/>
          <w:i/>
          <w:color w:val="215868"/>
          <w:sz w:val="24"/>
          <w:szCs w:val="24"/>
        </w:rPr>
        <w:t>niloticus</w:t>
      </w:r>
      <w:proofErr w:type="spellEnd"/>
      <w:r w:rsidRPr="00D45B51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 </w:t>
      </w:r>
    </w:p>
    <w:p w:rsidR="00D45B51" w:rsidRPr="00D45B51" w:rsidRDefault="00D45B51" w:rsidP="00D45B51">
      <w:pPr>
        <w:autoSpaceDE w:val="0"/>
        <w:autoSpaceDN w:val="0"/>
        <w:adjustRightInd w:val="0"/>
        <w:spacing w:after="0" w:line="480" w:lineRule="auto"/>
        <w:ind w:left="-90" w:firstLine="270"/>
        <w:rPr>
          <w:rFonts w:ascii="Times New Roman" w:hAnsi="Times New Roman" w:cs="Times New Roman"/>
          <w:b/>
          <w:bCs/>
          <w:color w:val="215868"/>
          <w:sz w:val="24"/>
          <w:szCs w:val="24"/>
        </w:rPr>
      </w:pPr>
      <w:proofErr w:type="spellStart"/>
      <w:r w:rsidRPr="00D45B51">
        <w:rPr>
          <w:rFonts w:ascii="Times New Roman" w:hAnsi="Times New Roman" w:cs="Times New Roman"/>
          <w:bCs/>
          <w:color w:val="000000"/>
          <w:sz w:val="24"/>
          <w:szCs w:val="24"/>
        </w:rPr>
        <w:t>Adekunle</w:t>
      </w:r>
      <w:proofErr w:type="spellEnd"/>
      <w:r w:rsidRPr="00D45B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Dada*</w:t>
      </w:r>
      <w:r w:rsidRPr="00D45B51">
        <w:rPr>
          <w:rFonts w:ascii="Times New Roman" w:hAnsi="Times New Roman" w:cs="Times New Roman"/>
          <w:color w:val="000000"/>
          <w:sz w:val="24"/>
          <w:szCs w:val="24"/>
        </w:rPr>
        <w:t xml:space="preserve"> Famous O </w:t>
      </w:r>
      <w:proofErr w:type="spellStart"/>
      <w:r w:rsidRPr="00D45B51">
        <w:rPr>
          <w:rFonts w:ascii="Times New Roman" w:hAnsi="Times New Roman" w:cs="Times New Roman"/>
          <w:color w:val="000000"/>
          <w:sz w:val="24"/>
          <w:szCs w:val="24"/>
        </w:rPr>
        <w:t>Ogheneovo</w:t>
      </w:r>
      <w:proofErr w:type="spellEnd"/>
      <w:r w:rsidRPr="00D45B5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D45B51">
        <w:rPr>
          <w:rFonts w:ascii="Times New Roman" w:hAnsi="Times New Roman" w:cs="Times New Roman"/>
          <w:color w:val="000000"/>
          <w:sz w:val="24"/>
          <w:szCs w:val="24"/>
        </w:rPr>
        <w:t>Rashedat</w:t>
      </w:r>
      <w:proofErr w:type="spellEnd"/>
      <w:r w:rsidRPr="00D45B51">
        <w:rPr>
          <w:rFonts w:ascii="Times New Roman" w:hAnsi="Times New Roman" w:cs="Times New Roman"/>
          <w:color w:val="000000"/>
          <w:sz w:val="24"/>
          <w:szCs w:val="24"/>
        </w:rPr>
        <w:t xml:space="preserve"> O Adebayo</w:t>
      </w:r>
    </w:p>
    <w:p w:rsidR="00D45B51" w:rsidRPr="00D45B51" w:rsidRDefault="00D45B51" w:rsidP="00D45B51">
      <w:pPr>
        <w:autoSpaceDE w:val="0"/>
        <w:autoSpaceDN w:val="0"/>
        <w:adjustRightInd w:val="0"/>
        <w:spacing w:after="0" w:line="480" w:lineRule="auto"/>
        <w:ind w:left="-270"/>
        <w:rPr>
          <w:rFonts w:ascii="Times New Roman" w:hAnsi="Times New Roman" w:cs="Times New Roman"/>
          <w:b/>
          <w:bCs/>
          <w:color w:val="215868"/>
          <w:sz w:val="24"/>
          <w:szCs w:val="24"/>
        </w:rPr>
      </w:pPr>
      <w:r w:rsidRPr="00D45B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Department of Fisheries and Aquaculture Technology, Federal University of Technology, P.M.B. 704, </w:t>
      </w:r>
      <w:proofErr w:type="spellStart"/>
      <w:r w:rsidRPr="00D45B51">
        <w:rPr>
          <w:rFonts w:ascii="Times New Roman" w:hAnsi="Times New Roman" w:cs="Times New Roman"/>
          <w:iCs/>
          <w:color w:val="000000"/>
          <w:sz w:val="24"/>
          <w:szCs w:val="24"/>
        </w:rPr>
        <w:t>Ondo</w:t>
      </w:r>
      <w:proofErr w:type="spellEnd"/>
      <w:r w:rsidRPr="00D45B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state, Nigeria</w:t>
      </w:r>
    </w:p>
    <w:p w:rsidR="00D45B51" w:rsidRPr="00D45B51" w:rsidRDefault="00D45B51" w:rsidP="00D45B51">
      <w:pPr>
        <w:autoSpaceDE w:val="0"/>
        <w:autoSpaceDN w:val="0"/>
        <w:adjustRightInd w:val="0"/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45B51">
        <w:rPr>
          <w:rFonts w:ascii="Times New Roman" w:hAnsi="Times New Roman" w:cs="Times New Roman"/>
          <w:color w:val="000000"/>
          <w:sz w:val="24"/>
          <w:szCs w:val="24"/>
        </w:rPr>
        <w:t xml:space="preserve">Correspondence: </w:t>
      </w:r>
      <w:proofErr w:type="spellStart"/>
      <w:r w:rsidRPr="00D45B51">
        <w:rPr>
          <w:rFonts w:ascii="Times New Roman" w:hAnsi="Times New Roman" w:cs="Times New Roman"/>
          <w:color w:val="000000"/>
          <w:sz w:val="24"/>
          <w:szCs w:val="24"/>
        </w:rPr>
        <w:t>Adekunle</w:t>
      </w:r>
      <w:proofErr w:type="spellEnd"/>
      <w:r w:rsidRPr="00D45B51">
        <w:rPr>
          <w:rFonts w:ascii="Times New Roman" w:hAnsi="Times New Roman" w:cs="Times New Roman"/>
          <w:color w:val="000000"/>
          <w:sz w:val="24"/>
          <w:szCs w:val="24"/>
        </w:rPr>
        <w:t xml:space="preserve"> A Dada, Department of Fisheries and Aquaculture Technology, Federal University of Technology; Email: </w:t>
      </w:r>
      <w:hyperlink r:id="rId4" w:history="1">
        <w:r w:rsidRPr="00D45B51">
          <w:rPr>
            <w:rStyle w:val="Hyperlink"/>
            <w:rFonts w:ascii="Times New Roman" w:hAnsi="Times New Roman" w:cs="Times New Roman"/>
            <w:sz w:val="24"/>
            <w:szCs w:val="24"/>
          </w:rPr>
          <w:t>dadaayokanmi@yahoo.com</w:t>
        </w:r>
      </w:hyperlink>
      <w:r w:rsidRPr="00D45B51">
        <w:rPr>
          <w:rFonts w:ascii="Times New Roman" w:hAnsi="Times New Roman" w:cs="Times New Roman"/>
        </w:rPr>
        <w:t xml:space="preserve">; </w:t>
      </w:r>
      <w:hyperlink r:id="rId5" w:history="1">
        <w:r w:rsidRPr="00D45B51">
          <w:rPr>
            <w:rStyle w:val="Hyperlink"/>
            <w:rFonts w:ascii="Times New Roman" w:hAnsi="Times New Roman" w:cs="Times New Roman"/>
          </w:rPr>
          <w:t>aadada@futa.edu.ng</w:t>
        </w:r>
      </w:hyperlink>
      <w:r w:rsidRPr="00D45B51">
        <w:rPr>
          <w:rFonts w:ascii="Times New Roman" w:hAnsi="Times New Roman" w:cs="Times New Roman"/>
        </w:rPr>
        <w:t xml:space="preserve"> </w:t>
      </w:r>
    </w:p>
    <w:p w:rsidR="00D45B51" w:rsidRPr="00D45B51" w:rsidRDefault="00D45B51" w:rsidP="00D45B51">
      <w:pPr>
        <w:autoSpaceDE w:val="0"/>
        <w:autoSpaceDN w:val="0"/>
        <w:adjustRightInd w:val="0"/>
        <w:spacing w:after="0" w:line="480" w:lineRule="auto"/>
        <w:ind w:left="-9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B51">
        <w:rPr>
          <w:rFonts w:ascii="Times New Roman" w:hAnsi="Times New Roman" w:cs="Times New Roman"/>
          <w:b/>
          <w:color w:val="000000"/>
          <w:sz w:val="24"/>
          <w:szCs w:val="24"/>
        </w:rPr>
        <w:t>Abstract</w:t>
      </w:r>
    </w:p>
    <w:p w:rsidR="009779D4" w:rsidRPr="009779D4" w:rsidRDefault="009779D4" w:rsidP="009779D4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779D4">
        <w:rPr>
          <w:rFonts w:ascii="Times New Roman" w:hAnsi="Times New Roman" w:cs="Times New Roman"/>
          <w:sz w:val="20"/>
          <w:szCs w:val="20"/>
        </w:rPr>
        <w:t xml:space="preserve">Aqua-farmers are searching for an alternate for harmful antibiotics and other chemicals that are widely used in aquaculture since the banned of antibiotics in aqua farming. </w:t>
      </w:r>
      <w:proofErr w:type="spellStart"/>
      <w:r w:rsidRPr="009779D4">
        <w:rPr>
          <w:rFonts w:ascii="Times New Roman" w:hAnsi="Times New Roman" w:cs="Times New Roman"/>
          <w:sz w:val="20"/>
          <w:szCs w:val="20"/>
        </w:rPr>
        <w:t>Phytoadditives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are herbs or herbal derivatives that can replace antibiotics and other growth promoters. The present study is a preliminary work which was conducted to evaluate the effect of adding 1 level of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Acalypha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fimbriata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(1.0 g / 100 g diet) in a basal diet of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Clarias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gariepinus</w:t>
      </w:r>
      <w:proofErr w:type="spellEnd"/>
      <w:r w:rsidRPr="009779D4">
        <w:rPr>
          <w:rFonts w:ascii="Times New Roman" w:hAnsi="Times New Roman" w:cs="Times New Roman"/>
          <w:bCs/>
          <w:color w:val="215868"/>
          <w:sz w:val="20"/>
          <w:szCs w:val="20"/>
        </w:rPr>
        <w:t xml:space="preserve"> juveniles </w:t>
      </w:r>
      <w:r w:rsidRPr="009779D4">
        <w:rPr>
          <w:rFonts w:ascii="Times New Roman" w:hAnsi="Times New Roman" w:cs="Times New Roman"/>
          <w:sz w:val="20"/>
          <w:szCs w:val="20"/>
        </w:rPr>
        <w:t>(initial weight =45.51 ± 0.12 – 45.4 ± 0.10 g/fish)</w:t>
      </w:r>
      <w:r w:rsidRPr="009779D4">
        <w:rPr>
          <w:rFonts w:ascii="Times New Roman" w:hAnsi="Times New Roman" w:cs="Times New Roman"/>
          <w:bCs/>
          <w:color w:val="215868"/>
          <w:sz w:val="20"/>
          <w:szCs w:val="20"/>
        </w:rPr>
        <w:t xml:space="preserve"> and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Oreochromis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niloticus</w:t>
      </w:r>
      <w:proofErr w:type="spellEnd"/>
      <w:r w:rsidRPr="009779D4">
        <w:rPr>
          <w:rFonts w:ascii="Times New Roman" w:hAnsi="Times New Roman" w:cs="Times New Roman"/>
          <w:bCs/>
          <w:color w:val="215868"/>
          <w:sz w:val="20"/>
          <w:szCs w:val="20"/>
        </w:rPr>
        <w:t xml:space="preserve"> fingerlings</w:t>
      </w:r>
      <w:r w:rsidRPr="009779D4">
        <w:rPr>
          <w:rFonts w:ascii="Times New Roman" w:hAnsi="Times New Roman" w:cs="Times New Roman"/>
          <w:sz w:val="20"/>
          <w:szCs w:val="20"/>
        </w:rPr>
        <w:t xml:space="preserve"> (initial weight = 5.75 ± 0.12 – 5.73 ± 0.27 g/fish)</w:t>
      </w:r>
      <w:r w:rsidRPr="009779D4">
        <w:rPr>
          <w:rFonts w:ascii="Times New Roman" w:hAnsi="Times New Roman" w:cs="Times New Roman"/>
          <w:bCs/>
          <w:color w:val="215868"/>
          <w:sz w:val="20"/>
          <w:szCs w:val="20"/>
        </w:rPr>
        <w:t xml:space="preserve"> </w:t>
      </w:r>
      <w:r w:rsidRPr="009779D4">
        <w:rPr>
          <w:rFonts w:ascii="Times New Roman" w:hAnsi="Times New Roman" w:cs="Times New Roman"/>
          <w:sz w:val="20"/>
          <w:szCs w:val="20"/>
        </w:rPr>
        <w:t xml:space="preserve">on growth performance, feed utilization, survival rate and some hematological parameters. The experiment was conducted in triplicate. Fish were fed daily at 8:00 h and 18:00 h. Diets containing 30% crude protein (CP) and 40% crude protein were administrated at a rate of 3% body weight to </w:t>
      </w:r>
      <w:r w:rsidRPr="009779D4">
        <w:rPr>
          <w:rFonts w:ascii="Times New Roman" w:hAnsi="Times New Roman" w:cs="Times New Roman"/>
          <w:i/>
          <w:sz w:val="20"/>
          <w:szCs w:val="20"/>
        </w:rPr>
        <w:t xml:space="preserve">O. </w:t>
      </w:r>
      <w:proofErr w:type="spellStart"/>
      <w:r w:rsidRPr="009779D4">
        <w:rPr>
          <w:rFonts w:ascii="Times New Roman" w:hAnsi="Times New Roman" w:cs="Times New Roman"/>
          <w:i/>
          <w:sz w:val="20"/>
          <w:szCs w:val="20"/>
        </w:rPr>
        <w:t>niloticus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and </w:t>
      </w:r>
      <w:r w:rsidRPr="009779D4">
        <w:rPr>
          <w:rFonts w:ascii="Times New Roman" w:hAnsi="Times New Roman" w:cs="Times New Roman"/>
          <w:i/>
          <w:sz w:val="20"/>
          <w:szCs w:val="20"/>
        </w:rPr>
        <w:t xml:space="preserve">C. </w:t>
      </w:r>
      <w:proofErr w:type="spellStart"/>
      <w:r w:rsidRPr="009779D4">
        <w:rPr>
          <w:rFonts w:ascii="Times New Roman" w:hAnsi="Times New Roman" w:cs="Times New Roman"/>
          <w:i/>
          <w:sz w:val="20"/>
          <w:szCs w:val="20"/>
        </w:rPr>
        <w:t>gariepinus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respectively. At the end of 56th day fishes were weighed.  Blood was collected and subject to </w:t>
      </w:r>
      <w:proofErr w:type="spellStart"/>
      <w:r w:rsidRPr="009779D4">
        <w:rPr>
          <w:rFonts w:ascii="Times New Roman" w:hAnsi="Times New Roman" w:cs="Times New Roman"/>
          <w:sz w:val="20"/>
          <w:szCs w:val="20"/>
        </w:rPr>
        <w:t>haematological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analysis. The present results suggested that dietary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Acalypha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fimbriata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powder administrated at level of 1.0 g/100 g diet could improve survival, growth and feed utilization of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Clarias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gariepinus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juveniles and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Oreochromis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niloticus</w:t>
      </w:r>
      <w:proofErr w:type="spellEnd"/>
      <w:r w:rsidRPr="009779D4">
        <w:rPr>
          <w:rFonts w:ascii="Times New Roman" w:hAnsi="Times New Roman" w:cs="Times New Roman"/>
          <w:bCs/>
          <w:color w:val="215868"/>
          <w:sz w:val="20"/>
          <w:szCs w:val="20"/>
        </w:rPr>
        <w:t xml:space="preserve"> fingerlings</w:t>
      </w:r>
      <w:r w:rsidRPr="009779D4">
        <w:rPr>
          <w:rFonts w:ascii="Times New Roman" w:hAnsi="Times New Roman" w:cs="Times New Roman"/>
          <w:sz w:val="20"/>
          <w:szCs w:val="20"/>
        </w:rPr>
        <w:t xml:space="preserve">. Better Feed conversion ratio (FCR) was observed in fishes fed with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Acalypha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fimbriata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supplemented diets. Administration of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Acalypha</w:t>
      </w:r>
      <w:proofErr w:type="spellEnd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 xml:space="preserve"> </w:t>
      </w:r>
      <w:proofErr w:type="spellStart"/>
      <w:r w:rsidRPr="009779D4">
        <w:rPr>
          <w:rFonts w:ascii="Times New Roman" w:hAnsi="Times New Roman" w:cs="Times New Roman"/>
          <w:bCs/>
          <w:i/>
          <w:color w:val="215868"/>
          <w:sz w:val="20"/>
          <w:szCs w:val="20"/>
        </w:rPr>
        <w:t>fimbriata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also induce a significant increase in some blood variables (</w:t>
      </w:r>
      <w:proofErr w:type="spellStart"/>
      <w:r w:rsidRPr="009779D4">
        <w:rPr>
          <w:rFonts w:ascii="Times New Roman" w:hAnsi="Times New Roman" w:cs="Times New Roman"/>
          <w:sz w:val="20"/>
          <w:szCs w:val="20"/>
        </w:rPr>
        <w:t>haemoglobin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content, </w:t>
      </w:r>
      <w:proofErr w:type="spellStart"/>
      <w:r w:rsidRPr="009779D4">
        <w:rPr>
          <w:rFonts w:ascii="Times New Roman" w:hAnsi="Times New Roman" w:cs="Times New Roman"/>
          <w:sz w:val="20"/>
          <w:szCs w:val="20"/>
        </w:rPr>
        <w:t>hematocrit</w:t>
      </w:r>
      <w:proofErr w:type="spellEnd"/>
      <w:r w:rsidRPr="009779D4">
        <w:rPr>
          <w:rFonts w:ascii="Times New Roman" w:hAnsi="Times New Roman" w:cs="Times New Roman"/>
          <w:sz w:val="20"/>
          <w:szCs w:val="20"/>
        </w:rPr>
        <w:t xml:space="preserve"> value, mean corpuscular volume, mean corpuscular hemoglobin and leukocytes count) in treated fishes when compared to the control fishes group.</w:t>
      </w:r>
    </w:p>
    <w:p w:rsidR="009779D4" w:rsidRPr="009779D4" w:rsidRDefault="009779D4" w:rsidP="009779D4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D45B51" w:rsidRPr="009779D4" w:rsidRDefault="00D45B51" w:rsidP="00D45B51">
      <w:pPr>
        <w:autoSpaceDE w:val="0"/>
        <w:autoSpaceDN w:val="0"/>
        <w:adjustRightInd w:val="0"/>
        <w:spacing w:after="0" w:line="480" w:lineRule="auto"/>
        <w:ind w:left="-1440"/>
        <w:rPr>
          <w:rFonts w:ascii="Times New Roman" w:hAnsi="Times New Roman" w:cs="Times New Roman"/>
          <w:b/>
          <w:bCs/>
          <w:color w:val="215868"/>
          <w:sz w:val="20"/>
          <w:szCs w:val="20"/>
        </w:rPr>
      </w:pPr>
    </w:p>
    <w:p w:rsidR="004E33F3" w:rsidRPr="009779D4" w:rsidRDefault="004E33F3">
      <w:pPr>
        <w:rPr>
          <w:rFonts w:ascii="Times New Roman" w:hAnsi="Times New Roman" w:cs="Times New Roman"/>
          <w:sz w:val="20"/>
          <w:szCs w:val="20"/>
        </w:rPr>
      </w:pPr>
    </w:p>
    <w:sectPr w:rsidR="004E33F3" w:rsidRPr="009779D4" w:rsidSect="009779D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5B51"/>
    <w:rsid w:val="00261305"/>
    <w:rsid w:val="004E33F3"/>
    <w:rsid w:val="009779D4"/>
    <w:rsid w:val="00D4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B51"/>
    <w:rPr>
      <w:color w:val="0000FF" w:themeColor="hyperlink"/>
      <w:u w:val="single"/>
    </w:rPr>
  </w:style>
  <w:style w:type="paragraph" w:customStyle="1" w:styleId="Default">
    <w:name w:val="Default"/>
    <w:rsid w:val="009779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dada@futa.edu.ng" TargetMode="External"/><Relationship Id="rId4" Type="http://schemas.openxmlformats.org/officeDocument/2006/relationships/hyperlink" Target="mailto:dadaayokanm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</Words>
  <Characters>1899</Characters>
  <Application>Microsoft Office Word</Application>
  <DocSecurity>0</DocSecurity>
  <Lines>15</Lines>
  <Paragraphs>4</Paragraphs>
  <ScaleCrop>false</ScaleCrop>
  <Company>Hewlett-Packard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2016-04-11T07:11:00Z</dcterms:created>
  <dcterms:modified xsi:type="dcterms:W3CDTF">2016-04-11T09:11:00Z</dcterms:modified>
</cp:coreProperties>
</file>