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8"/>
          <w:szCs w:val="28"/>
          <w:rtl w:val="0"/>
        </w:rPr>
        <w:t xml:space="preserve">Variability studies on treatment combinations of </w:t>
      </w:r>
      <w:r w:rsidDel="00000000" w:rsidR="00000000" w:rsidRPr="00000000">
        <w:rPr>
          <w:rFonts w:ascii="Times New Roman" w:cs="Times New Roman" w:eastAsia="Times New Roman" w:hAnsi="Times New Roman"/>
          <w:b w:val="1"/>
          <w:i w:val="1"/>
          <w:sz w:val="28"/>
          <w:szCs w:val="28"/>
          <w:rtl w:val="0"/>
        </w:rPr>
        <w:t xml:space="preserve">Glomus clarum</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Leucena leucocephala</w:t>
      </w:r>
      <w:r w:rsidDel="00000000" w:rsidR="00000000" w:rsidRPr="00000000">
        <w:rPr>
          <w:rFonts w:ascii="Times New Roman" w:cs="Times New Roman" w:eastAsia="Times New Roman" w:hAnsi="Times New Roman"/>
          <w:b w:val="1"/>
          <w:sz w:val="28"/>
          <w:szCs w:val="28"/>
          <w:rtl w:val="0"/>
        </w:rPr>
        <w:t xml:space="preserve"> and character associations in </w:t>
      </w:r>
      <w:r w:rsidDel="00000000" w:rsidR="00000000" w:rsidRPr="00000000">
        <w:rPr>
          <w:rFonts w:ascii="Times New Roman" w:cs="Times New Roman" w:eastAsia="Times New Roman" w:hAnsi="Times New Roman"/>
          <w:b w:val="1"/>
          <w:i w:val="1"/>
          <w:sz w:val="28"/>
          <w:szCs w:val="28"/>
          <w:rtl w:val="0"/>
        </w:rPr>
        <w:t xml:space="preserve">Amarantus</w:t>
      </w:r>
      <w:r w:rsidDel="00000000" w:rsidR="00000000" w:rsidRPr="00000000">
        <w:rPr>
          <w:rFonts w:ascii="Times New Roman" w:cs="Times New Roman" w:eastAsia="Times New Roman" w:hAnsi="Times New Roman"/>
          <w:b w:val="1"/>
          <w:sz w:val="28"/>
          <w:szCs w:val="28"/>
          <w:rtl w:val="0"/>
        </w:rPr>
        <w:t xml:space="preserve"> germplasm</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8"/>
          <w:szCs w:val="28"/>
          <w:rtl w:val="0"/>
        </w:rPr>
        <w:t xml:space="preserve">Olawuyi, O. J</w:t>
      </w:r>
      <w:r w:rsidDel="00000000" w:rsidR="00000000" w:rsidRPr="00000000">
        <w:rPr>
          <w:rFonts w:ascii="Times New Roman" w:cs="Times New Roman" w:eastAsia="Times New Roman" w:hAnsi="Times New Roman"/>
          <w:b w:val="1"/>
          <w:sz w:val="28"/>
          <w:szCs w:val="28"/>
          <w:vertAlign w:val="superscript"/>
          <w:rtl w:val="0"/>
        </w:rPr>
        <w:t xml:space="preserve">1</w:t>
      </w:r>
      <w:r w:rsidDel="00000000" w:rsidR="00000000" w:rsidRPr="00000000">
        <w:rPr>
          <w:rFonts w:ascii="Times New Roman" w:cs="Times New Roman" w:eastAsia="Times New Roman" w:hAnsi="Times New Roman"/>
          <w:b w:val="1"/>
          <w:sz w:val="28"/>
          <w:szCs w:val="28"/>
          <w:rtl w:val="0"/>
        </w:rPr>
        <w:t xml:space="preserve">., Olowe, O. M</w:t>
      </w:r>
      <w:r w:rsidDel="00000000" w:rsidR="00000000" w:rsidRPr="00000000">
        <w:rPr>
          <w:rFonts w:ascii="Times New Roman" w:cs="Times New Roman" w:eastAsia="Times New Roman" w:hAnsi="Times New Roman"/>
          <w:b w:val="1"/>
          <w:sz w:val="28"/>
          <w:szCs w:val="28"/>
          <w:vertAlign w:val="superscript"/>
          <w:rtl w:val="0"/>
        </w:rPr>
        <w:t xml:space="preserve">1</w:t>
      </w:r>
      <w:r w:rsidDel="00000000" w:rsidR="00000000" w:rsidRPr="00000000">
        <w:rPr>
          <w:rFonts w:ascii="Times New Roman" w:cs="Times New Roman" w:eastAsia="Times New Roman" w:hAnsi="Times New Roman"/>
          <w:b w:val="1"/>
          <w:sz w:val="28"/>
          <w:szCs w:val="28"/>
          <w:rtl w:val="0"/>
        </w:rPr>
        <w:t xml:space="preserve">., Onuoha, S. O</w:t>
      </w:r>
      <w:r w:rsidDel="00000000" w:rsidR="00000000" w:rsidRPr="00000000">
        <w:rPr>
          <w:rFonts w:ascii="Times New Roman" w:cs="Times New Roman" w:eastAsia="Times New Roman" w:hAnsi="Times New Roman"/>
          <w:b w:val="1"/>
          <w:sz w:val="28"/>
          <w:szCs w:val="28"/>
          <w:vertAlign w:val="superscript"/>
          <w:rtl w:val="0"/>
        </w:rPr>
        <w:t xml:space="preserve">1</w:t>
      </w:r>
      <w:r w:rsidDel="00000000" w:rsidR="00000000" w:rsidRPr="00000000">
        <w:rPr>
          <w:rFonts w:ascii="Times New Roman" w:cs="Times New Roman" w:eastAsia="Times New Roman" w:hAnsi="Times New Roman"/>
          <w:b w:val="1"/>
          <w:sz w:val="28"/>
          <w:szCs w:val="28"/>
          <w:rtl w:val="0"/>
        </w:rPr>
        <w:t xml:space="preserve"> and Aghazie, K. L</w:t>
      </w:r>
      <w:r w:rsidDel="00000000" w:rsidR="00000000" w:rsidRPr="00000000">
        <w:rPr>
          <w:rFonts w:ascii="Times New Roman" w:cs="Times New Roman" w:eastAsia="Times New Roman" w:hAnsi="Times New Roman"/>
          <w:b w:val="1"/>
          <w:sz w:val="28"/>
          <w:szCs w:val="28"/>
          <w:vertAlign w:val="superscript"/>
          <w:rtl w:val="0"/>
        </w:rPr>
        <w:t xml:space="preserve">1</w:t>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8"/>
          <w:szCs w:val="28"/>
          <w:vertAlign w:val="superscript"/>
          <w:rtl w:val="0"/>
        </w:rPr>
        <w:t xml:space="preserve">1</w:t>
      </w:r>
      <w:r w:rsidDel="00000000" w:rsidR="00000000" w:rsidRPr="00000000">
        <w:rPr>
          <w:rFonts w:ascii="Times New Roman" w:cs="Times New Roman" w:eastAsia="Times New Roman" w:hAnsi="Times New Roman"/>
          <w:b w:val="1"/>
          <w:sz w:val="28"/>
          <w:szCs w:val="28"/>
          <w:rtl w:val="0"/>
        </w:rPr>
        <w:t xml:space="preserve"> University of Ibadan, Ibadan, Nigeria</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8"/>
          <w:szCs w:val="28"/>
          <w:rtl w:val="0"/>
        </w:rPr>
        <w:t xml:space="preserve">Abstract</w:t>
      </w: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rFonts w:ascii="Times New Roman" w:cs="Times New Roman" w:eastAsia="Times New Roman" w:hAnsi="Times New Roman"/>
          <w:sz w:val="24"/>
          <w:szCs w:val="24"/>
          <w:highlight w:val="white"/>
          <w:rtl w:val="0"/>
        </w:rPr>
        <w:t xml:space="preserve">The variability response of </w:t>
      </w:r>
      <w:r w:rsidDel="00000000" w:rsidR="00000000" w:rsidRPr="00000000">
        <w:rPr>
          <w:rFonts w:ascii="Times New Roman" w:cs="Times New Roman" w:eastAsia="Times New Roman" w:hAnsi="Times New Roman"/>
          <w:i w:val="1"/>
          <w:sz w:val="24"/>
          <w:szCs w:val="24"/>
          <w:highlight w:val="white"/>
          <w:rtl w:val="0"/>
        </w:rPr>
        <w:t xml:space="preserve">Amaranthus</w:t>
      </w:r>
      <w:r w:rsidDel="00000000" w:rsidR="00000000" w:rsidRPr="00000000">
        <w:rPr>
          <w:rFonts w:ascii="Times New Roman" w:cs="Times New Roman" w:eastAsia="Times New Roman" w:hAnsi="Times New Roman"/>
          <w:sz w:val="24"/>
          <w:szCs w:val="24"/>
          <w:highlight w:val="white"/>
          <w:rtl w:val="0"/>
        </w:rPr>
        <w:t xml:space="preserve"> genotypes to treatment combinations of Arbuscular mycorrhizal fungus (</w:t>
      </w:r>
      <w:r w:rsidDel="00000000" w:rsidR="00000000" w:rsidRPr="00000000">
        <w:rPr>
          <w:rFonts w:ascii="Times New Roman" w:cs="Times New Roman" w:eastAsia="Times New Roman" w:hAnsi="Times New Roman"/>
          <w:i w:val="1"/>
          <w:sz w:val="24"/>
          <w:szCs w:val="24"/>
          <w:highlight w:val="white"/>
          <w:rtl w:val="0"/>
        </w:rPr>
        <w:t xml:space="preserve">Glomus clarum</w:t>
      </w:r>
      <w:r w:rsidDel="00000000" w:rsidR="00000000" w:rsidRPr="00000000">
        <w:rPr>
          <w:rFonts w:ascii="Times New Roman" w:cs="Times New Roman" w:eastAsia="Times New Roman" w:hAnsi="Times New Roman"/>
          <w:sz w:val="24"/>
          <w:szCs w:val="24"/>
          <w:highlight w:val="white"/>
          <w:rtl w:val="0"/>
        </w:rPr>
        <w:t xml:space="preserve">) and Green manure (</w:t>
      </w:r>
      <w:r w:rsidDel="00000000" w:rsidR="00000000" w:rsidRPr="00000000">
        <w:rPr>
          <w:rFonts w:ascii="Times New Roman" w:cs="Times New Roman" w:eastAsia="Times New Roman" w:hAnsi="Times New Roman"/>
          <w:i w:val="1"/>
          <w:sz w:val="24"/>
          <w:szCs w:val="24"/>
          <w:highlight w:val="white"/>
          <w:rtl w:val="0"/>
        </w:rPr>
        <w:t xml:space="preserve">Leucaena leucocephala</w:t>
      </w:r>
      <w:r w:rsidDel="00000000" w:rsidR="00000000" w:rsidRPr="00000000">
        <w:rPr>
          <w:rFonts w:ascii="Times New Roman" w:cs="Times New Roman" w:eastAsia="Times New Roman" w:hAnsi="Times New Roman"/>
          <w:sz w:val="24"/>
          <w:szCs w:val="24"/>
          <w:highlight w:val="white"/>
          <w:rtl w:val="0"/>
        </w:rPr>
        <w:t xml:space="preserve">) was investigated in this study.</w:t>
      </w:r>
    </w:p>
    <w:p w:rsidR="00000000" w:rsidDel="00000000" w:rsidP="00000000" w:rsidRDefault="00000000" w:rsidRPr="00000000">
      <w:pPr>
        <w:spacing w:line="331.2" w:lineRule="auto"/>
        <w:contextualSpacing w:val="0"/>
        <w:jc w:val="both"/>
      </w:pPr>
      <w:r w:rsidDel="00000000" w:rsidR="00000000" w:rsidRPr="00000000">
        <w:rPr>
          <w:rFonts w:ascii="Times New Roman" w:cs="Times New Roman" w:eastAsia="Times New Roman" w:hAnsi="Times New Roman"/>
          <w:sz w:val="24"/>
          <w:szCs w:val="24"/>
          <w:highlight w:val="white"/>
          <w:rtl w:val="0"/>
        </w:rPr>
        <w:t xml:space="preserve">The study was conducted at the Research farm of the Department of Botany, University of Ibadan, and an open field experiment was laid out in complete randomized design (CRD) with three replicates. Five genotypes of</w:t>
      </w:r>
      <w:r w:rsidDel="00000000" w:rsidR="00000000" w:rsidRPr="00000000">
        <w:rPr>
          <w:rFonts w:ascii="Times New Roman" w:cs="Times New Roman" w:eastAsia="Times New Roman" w:hAnsi="Times New Roman"/>
          <w:i w:val="1"/>
          <w:sz w:val="24"/>
          <w:szCs w:val="24"/>
          <w:highlight w:val="white"/>
          <w:rtl w:val="0"/>
        </w:rPr>
        <w:t xml:space="preserve"> Amaranthus</w:t>
      </w:r>
      <w:r w:rsidDel="00000000" w:rsidR="00000000" w:rsidRPr="00000000">
        <w:rPr>
          <w:rFonts w:ascii="Times New Roman" w:cs="Times New Roman" w:eastAsia="Times New Roman" w:hAnsi="Times New Roman"/>
          <w:sz w:val="24"/>
          <w:szCs w:val="24"/>
          <w:highlight w:val="white"/>
          <w:rtl w:val="0"/>
        </w:rPr>
        <w:t xml:space="preserve"> spp; NGBO 1644, NGBO 1234, NGBO 1613, NGBO 1662 and NGBO 1271 were treated with 5g each of </w:t>
      </w:r>
      <w:r w:rsidDel="00000000" w:rsidR="00000000" w:rsidRPr="00000000">
        <w:rPr>
          <w:rFonts w:ascii="Times New Roman" w:cs="Times New Roman" w:eastAsia="Times New Roman" w:hAnsi="Times New Roman"/>
          <w:i w:val="1"/>
          <w:sz w:val="24"/>
          <w:szCs w:val="24"/>
          <w:highlight w:val="white"/>
          <w:rtl w:val="0"/>
        </w:rPr>
        <w:t xml:space="preserve">L. leucocephala</w:t>
      </w:r>
      <w:r w:rsidDel="00000000" w:rsidR="00000000" w:rsidRPr="00000000">
        <w:rPr>
          <w:rFonts w:ascii="Times New Roman" w:cs="Times New Roman" w:eastAsia="Times New Roman" w:hAnsi="Times New Roman"/>
          <w:sz w:val="24"/>
          <w:szCs w:val="24"/>
          <w:highlight w:val="white"/>
          <w:rtl w:val="0"/>
        </w:rPr>
        <w:t xml:space="preserve"> and </w:t>
      </w:r>
      <w:r w:rsidDel="00000000" w:rsidR="00000000" w:rsidRPr="00000000">
        <w:rPr>
          <w:rFonts w:ascii="Times New Roman" w:cs="Times New Roman" w:eastAsia="Times New Roman" w:hAnsi="Times New Roman"/>
          <w:i w:val="1"/>
          <w:sz w:val="24"/>
          <w:szCs w:val="24"/>
          <w:highlight w:val="white"/>
          <w:rtl w:val="0"/>
        </w:rPr>
        <w:t xml:space="preserve">G. clarum</w:t>
      </w:r>
      <w:r w:rsidDel="00000000" w:rsidR="00000000" w:rsidRPr="00000000">
        <w:rPr>
          <w:rFonts w:ascii="Times New Roman" w:cs="Times New Roman" w:eastAsia="Times New Roman" w:hAnsi="Times New Roman"/>
          <w:sz w:val="24"/>
          <w:szCs w:val="24"/>
          <w:highlight w:val="white"/>
          <w:rtl w:val="0"/>
        </w:rPr>
        <w:t xml:space="preserve"> and combination of 2.5g of </w:t>
      </w:r>
      <w:r w:rsidDel="00000000" w:rsidR="00000000" w:rsidRPr="00000000">
        <w:rPr>
          <w:rFonts w:ascii="Times New Roman" w:cs="Times New Roman" w:eastAsia="Times New Roman" w:hAnsi="Times New Roman"/>
          <w:i w:val="1"/>
          <w:sz w:val="24"/>
          <w:szCs w:val="24"/>
          <w:highlight w:val="white"/>
          <w:rtl w:val="0"/>
        </w:rPr>
        <w:t xml:space="preserve">L. leucocephala</w:t>
      </w:r>
      <w:r w:rsidDel="00000000" w:rsidR="00000000" w:rsidRPr="00000000">
        <w:rPr>
          <w:rFonts w:ascii="Times New Roman" w:cs="Times New Roman" w:eastAsia="Times New Roman" w:hAnsi="Times New Roman"/>
          <w:sz w:val="24"/>
          <w:szCs w:val="24"/>
          <w:highlight w:val="white"/>
          <w:rtl w:val="0"/>
        </w:rPr>
        <w:t xml:space="preserve"> and </w:t>
      </w:r>
      <w:r w:rsidDel="00000000" w:rsidR="00000000" w:rsidRPr="00000000">
        <w:rPr>
          <w:rFonts w:ascii="Times New Roman" w:cs="Times New Roman" w:eastAsia="Times New Roman" w:hAnsi="Times New Roman"/>
          <w:i w:val="1"/>
          <w:sz w:val="24"/>
          <w:szCs w:val="24"/>
          <w:highlight w:val="white"/>
          <w:rtl w:val="0"/>
        </w:rPr>
        <w:t xml:space="preserve">G. clarum</w:t>
      </w:r>
      <w:r w:rsidDel="00000000" w:rsidR="00000000" w:rsidRPr="00000000">
        <w:rPr>
          <w:rFonts w:ascii="Times New Roman" w:cs="Times New Roman" w:eastAsia="Times New Roman" w:hAnsi="Times New Roman"/>
          <w:sz w:val="24"/>
          <w:szCs w:val="24"/>
          <w:highlight w:val="white"/>
          <w:rtl w:val="0"/>
        </w:rPr>
        <w:t xml:space="preserve">, while untreated plant served as control. Data analysis was done by Analysis of variance using SAS 2.0 package. The result showed that the genotypes had significant (p&lt;0.05) effect on fruit characters except number of fruits and leaf biomass, while the interaction of Genotype x treatment was expressed on fruit biomass.</w:t>
      </w:r>
    </w:p>
    <w:p w:rsidR="00000000" w:rsidDel="00000000" w:rsidP="00000000" w:rsidRDefault="00000000" w:rsidRPr="00000000">
      <w:pPr>
        <w:spacing w:line="331.2" w:lineRule="auto"/>
        <w:contextualSpacing w:val="0"/>
        <w:jc w:val="both"/>
      </w:pPr>
      <w:r w:rsidDel="00000000" w:rsidR="00000000" w:rsidRPr="00000000">
        <w:rPr>
          <w:rFonts w:ascii="Times New Roman" w:cs="Times New Roman" w:eastAsia="Times New Roman" w:hAnsi="Times New Roman"/>
          <w:sz w:val="24"/>
          <w:szCs w:val="24"/>
          <w:highlight w:val="white"/>
          <w:rtl w:val="0"/>
        </w:rPr>
        <w:t xml:space="preserve">The combinations of </w:t>
      </w:r>
      <w:r w:rsidDel="00000000" w:rsidR="00000000" w:rsidRPr="00000000">
        <w:rPr>
          <w:rFonts w:ascii="Times New Roman" w:cs="Times New Roman" w:eastAsia="Times New Roman" w:hAnsi="Times New Roman"/>
          <w:i w:val="1"/>
          <w:sz w:val="24"/>
          <w:szCs w:val="24"/>
          <w:highlight w:val="white"/>
          <w:rtl w:val="0"/>
        </w:rPr>
        <w:t xml:space="preserve">G. clarum</w:t>
      </w:r>
      <w:r w:rsidDel="00000000" w:rsidR="00000000" w:rsidRPr="00000000">
        <w:rPr>
          <w:rFonts w:ascii="Times New Roman" w:cs="Times New Roman" w:eastAsia="Times New Roman" w:hAnsi="Times New Roman"/>
          <w:sz w:val="24"/>
          <w:szCs w:val="24"/>
          <w:highlight w:val="white"/>
          <w:rtl w:val="0"/>
        </w:rPr>
        <w:t xml:space="preserve"> + </w:t>
      </w:r>
      <w:r w:rsidDel="00000000" w:rsidR="00000000" w:rsidRPr="00000000">
        <w:rPr>
          <w:rFonts w:ascii="Times New Roman" w:cs="Times New Roman" w:eastAsia="Times New Roman" w:hAnsi="Times New Roman"/>
          <w:i w:val="1"/>
          <w:sz w:val="24"/>
          <w:szCs w:val="24"/>
          <w:highlight w:val="white"/>
          <w:rtl w:val="0"/>
        </w:rPr>
        <w:t xml:space="preserve">L. leucocephala</w:t>
      </w:r>
      <w:r w:rsidDel="00000000" w:rsidR="00000000" w:rsidRPr="00000000">
        <w:rPr>
          <w:rFonts w:ascii="Times New Roman" w:cs="Times New Roman" w:eastAsia="Times New Roman" w:hAnsi="Times New Roman"/>
          <w:sz w:val="24"/>
          <w:szCs w:val="24"/>
          <w:highlight w:val="white"/>
          <w:rtl w:val="0"/>
        </w:rPr>
        <w:t xml:space="preserve"> was significantly higher on growth characters and number of fruits per stand for NGBO 1644, NGBO 1234 and NGBO 1271 than other genotypes. </w:t>
      </w:r>
      <w:r w:rsidDel="00000000" w:rsidR="00000000" w:rsidRPr="00000000">
        <w:rPr>
          <w:rFonts w:ascii="Times New Roman" w:cs="Times New Roman" w:eastAsia="Times New Roman" w:hAnsi="Times New Roman"/>
          <w:i w:val="1"/>
          <w:sz w:val="24"/>
          <w:szCs w:val="24"/>
          <w:highlight w:val="white"/>
          <w:rtl w:val="0"/>
        </w:rPr>
        <w:t xml:space="preserve">L. leucocephala</w:t>
      </w:r>
      <w:r w:rsidDel="00000000" w:rsidR="00000000" w:rsidRPr="00000000">
        <w:rPr>
          <w:rFonts w:ascii="Times New Roman" w:cs="Times New Roman" w:eastAsia="Times New Roman" w:hAnsi="Times New Roman"/>
          <w:sz w:val="24"/>
          <w:szCs w:val="24"/>
          <w:highlight w:val="white"/>
          <w:rtl w:val="0"/>
        </w:rPr>
        <w:t xml:space="preserve"> was significantly higher in plant height for NGBO 1644, leaf length and leaf width for NGBO 1613 and NGBO 1271, stem girth for NGBO 1271 and number of fruits for  NGBO 1613, while </w:t>
      </w:r>
      <w:r w:rsidDel="00000000" w:rsidR="00000000" w:rsidRPr="00000000">
        <w:rPr>
          <w:rFonts w:ascii="Times New Roman" w:cs="Times New Roman" w:eastAsia="Times New Roman" w:hAnsi="Times New Roman"/>
          <w:i w:val="1"/>
          <w:sz w:val="24"/>
          <w:szCs w:val="24"/>
          <w:highlight w:val="white"/>
          <w:rtl w:val="0"/>
        </w:rPr>
        <w:t xml:space="preserve">G. clarum</w:t>
      </w:r>
      <w:r w:rsidDel="00000000" w:rsidR="00000000" w:rsidRPr="00000000">
        <w:rPr>
          <w:rFonts w:ascii="Times New Roman" w:cs="Times New Roman" w:eastAsia="Times New Roman" w:hAnsi="Times New Roman"/>
          <w:sz w:val="24"/>
          <w:szCs w:val="24"/>
          <w:highlight w:val="white"/>
          <w:rtl w:val="0"/>
        </w:rPr>
        <w:t xml:space="preserve"> was higher in number of leaves for NGBO 1613, plant height for NGBO 1234, stem girth for NGBO 1234 and NGBO 1662 and number of fruit for NGBO 1613. The result of character association in </w:t>
      </w:r>
      <w:r w:rsidDel="00000000" w:rsidR="00000000" w:rsidRPr="00000000">
        <w:rPr>
          <w:rFonts w:ascii="Times New Roman" w:cs="Times New Roman" w:eastAsia="Times New Roman" w:hAnsi="Times New Roman"/>
          <w:i w:val="1"/>
          <w:sz w:val="24"/>
          <w:szCs w:val="24"/>
          <w:highlight w:val="white"/>
          <w:rtl w:val="0"/>
        </w:rPr>
        <w:t xml:space="preserve">Amaranthus</w:t>
      </w:r>
      <w:r w:rsidDel="00000000" w:rsidR="00000000" w:rsidRPr="00000000">
        <w:rPr>
          <w:rFonts w:ascii="Times New Roman" w:cs="Times New Roman" w:eastAsia="Times New Roman" w:hAnsi="Times New Roman"/>
          <w:sz w:val="24"/>
          <w:szCs w:val="24"/>
          <w:highlight w:val="white"/>
          <w:rtl w:val="0"/>
        </w:rPr>
        <w:t xml:space="preserve">  also revealed that the stem length is positive and strongly correlated with plant height (r= 0.97; p&lt; 0.01), while leaf width is related to stem girth (r= 0.66). There were positive associations between the fruit length and stem length (r= 0.58) and fruit colour at r= 0.70, while the fruit width is related to plant height, fruit colour and fruit length at r= 0.51, 0.67 and 0.86 respectively. The combined effects of </w:t>
      </w:r>
      <w:r w:rsidDel="00000000" w:rsidR="00000000" w:rsidRPr="00000000">
        <w:rPr>
          <w:rFonts w:ascii="Times New Roman" w:cs="Times New Roman" w:eastAsia="Times New Roman" w:hAnsi="Times New Roman"/>
          <w:i w:val="1"/>
          <w:sz w:val="24"/>
          <w:szCs w:val="24"/>
          <w:highlight w:val="white"/>
          <w:rtl w:val="0"/>
        </w:rPr>
        <w:t xml:space="preserve">G. clarum</w:t>
      </w:r>
      <w:r w:rsidDel="00000000" w:rsidR="00000000" w:rsidRPr="00000000">
        <w:rPr>
          <w:rFonts w:ascii="Times New Roman" w:cs="Times New Roman" w:eastAsia="Times New Roman" w:hAnsi="Times New Roman"/>
          <w:sz w:val="24"/>
          <w:szCs w:val="24"/>
          <w:highlight w:val="white"/>
          <w:rtl w:val="0"/>
        </w:rPr>
        <w:t xml:space="preserve"> + </w:t>
      </w:r>
      <w:r w:rsidDel="00000000" w:rsidR="00000000" w:rsidRPr="00000000">
        <w:rPr>
          <w:rFonts w:ascii="Times New Roman" w:cs="Times New Roman" w:eastAsia="Times New Roman" w:hAnsi="Times New Roman"/>
          <w:i w:val="1"/>
          <w:sz w:val="24"/>
          <w:szCs w:val="24"/>
          <w:highlight w:val="white"/>
          <w:rtl w:val="0"/>
        </w:rPr>
        <w:t xml:space="preserve">L. leucocephala</w:t>
      </w:r>
      <w:r w:rsidDel="00000000" w:rsidR="00000000" w:rsidRPr="00000000">
        <w:rPr>
          <w:rFonts w:ascii="Times New Roman" w:cs="Times New Roman" w:eastAsia="Times New Roman" w:hAnsi="Times New Roman"/>
          <w:sz w:val="24"/>
          <w:szCs w:val="24"/>
          <w:highlight w:val="white"/>
          <w:rtl w:val="0"/>
        </w:rPr>
        <w:t xml:space="preserve"> greatly enhanced the morphological traits of genotypes of </w:t>
      </w:r>
      <w:r w:rsidDel="00000000" w:rsidR="00000000" w:rsidRPr="00000000">
        <w:rPr>
          <w:rFonts w:ascii="Times New Roman" w:cs="Times New Roman" w:eastAsia="Times New Roman" w:hAnsi="Times New Roman"/>
          <w:i w:val="1"/>
          <w:sz w:val="24"/>
          <w:szCs w:val="24"/>
          <w:highlight w:val="white"/>
          <w:rtl w:val="0"/>
        </w:rPr>
        <w:t xml:space="preserve">Amaranthus</w:t>
      </w:r>
      <w:r w:rsidDel="00000000" w:rsidR="00000000" w:rsidRPr="00000000">
        <w:rPr>
          <w:rFonts w:ascii="Times New Roman" w:cs="Times New Roman" w:eastAsia="Times New Roman" w:hAnsi="Times New Roman"/>
          <w:sz w:val="24"/>
          <w:szCs w:val="24"/>
          <w:highlight w:val="white"/>
          <w:rtl w:val="0"/>
        </w:rPr>
        <w:t xml:space="preserve"> spp in its fair use to ensure food security. It is therefore recommended for </w:t>
      </w:r>
      <w:r w:rsidDel="00000000" w:rsidR="00000000" w:rsidRPr="00000000">
        <w:rPr>
          <w:rFonts w:ascii="Times New Roman" w:cs="Times New Roman" w:eastAsia="Times New Roman" w:hAnsi="Times New Roman"/>
          <w:i w:val="1"/>
          <w:sz w:val="24"/>
          <w:szCs w:val="24"/>
          <w:highlight w:val="white"/>
          <w:rtl w:val="0"/>
        </w:rPr>
        <w:t xml:space="preserve">Amaranthus</w:t>
      </w:r>
      <w:r w:rsidDel="00000000" w:rsidR="00000000" w:rsidRPr="00000000">
        <w:rPr>
          <w:rFonts w:ascii="Times New Roman" w:cs="Times New Roman" w:eastAsia="Times New Roman" w:hAnsi="Times New Roman"/>
          <w:sz w:val="24"/>
          <w:szCs w:val="24"/>
          <w:highlight w:val="white"/>
          <w:rtl w:val="0"/>
        </w:rPr>
        <w:t xml:space="preserve"> producers.</w:t>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rFonts w:ascii="Times New Roman" w:cs="Times New Roman" w:eastAsia="Times New Roman" w:hAnsi="Times New Roman"/>
          <w:b w:val="1"/>
          <w:sz w:val="24"/>
          <w:szCs w:val="24"/>
          <w:highlight w:val="white"/>
          <w:rtl w:val="0"/>
        </w:rPr>
        <w:t xml:space="preserve">Keywords: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Amaranthus</w:t>
      </w:r>
      <w:r w:rsidDel="00000000" w:rsidR="00000000" w:rsidRPr="00000000">
        <w:rPr>
          <w:rFonts w:ascii="Times New Roman" w:cs="Times New Roman" w:eastAsia="Times New Roman" w:hAnsi="Times New Roman"/>
          <w:sz w:val="24"/>
          <w:szCs w:val="24"/>
          <w:highlight w:val="white"/>
          <w:rtl w:val="0"/>
        </w:rPr>
        <w:t xml:space="preserve">, variability, arbuscular mycorrhizal fungus, </w:t>
      </w:r>
      <w:r w:rsidDel="00000000" w:rsidR="00000000" w:rsidRPr="00000000">
        <w:rPr>
          <w:rFonts w:ascii="Times New Roman" w:cs="Times New Roman" w:eastAsia="Times New Roman" w:hAnsi="Times New Roman"/>
          <w:i w:val="1"/>
          <w:sz w:val="24"/>
          <w:szCs w:val="24"/>
          <w:highlight w:val="white"/>
          <w:rtl w:val="0"/>
        </w:rPr>
        <w:t xml:space="preserve">Leucaena leucocephala</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331.2" w:lineRule="auto"/>
        <w:contextualSpacing w:val="0"/>
        <w:jc w:val="both"/>
      </w:pPr>
      <w:r w:rsidDel="00000000" w:rsidR="00000000" w:rsidRPr="00000000">
        <w:rPr>
          <w:rFonts w:ascii="Times New Roman" w:cs="Times New Roman" w:eastAsia="Times New Roman" w:hAnsi="Times New Roman"/>
          <w:sz w:val="24"/>
          <w:szCs w:val="24"/>
          <w:highlight w:val="white"/>
          <w:rtl w:val="0"/>
        </w:rPr>
        <w:t xml:space="preserve">                  resources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